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F222A" w14:textId="06AC5F2C" w:rsidR="00800E86" w:rsidRDefault="00800E86" w:rsidP="00800E8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Motion to Adopt the Budget of the Arts Computer Lab Fund Committee (ACLFC)</w:t>
      </w:r>
    </w:p>
    <w:p w14:paraId="32DA95AA" w14:textId="77777777" w:rsidR="00800E86" w:rsidRDefault="00800E86" w:rsidP="00800E86">
      <w:pPr>
        <w:rPr>
          <w:rFonts w:ascii="Calibri" w:hAnsi="Calibri"/>
          <w:b/>
        </w:rPr>
      </w:pPr>
    </w:p>
    <w:p w14:paraId="1DCBC83E" w14:textId="5C43CC3E" w:rsidR="00800E86" w:rsidRDefault="00800E86" w:rsidP="00800E86">
      <w:pPr>
        <w:rPr>
          <w:rFonts w:ascii="Calibri" w:hAnsi="Calibri"/>
        </w:rPr>
      </w:pPr>
      <w:r>
        <w:rPr>
          <w:rFonts w:ascii="Calibri" w:hAnsi="Calibri"/>
          <w:b/>
        </w:rPr>
        <w:t xml:space="preserve">Whereas, </w:t>
      </w:r>
      <w:r>
        <w:rPr>
          <w:rFonts w:ascii="Calibri" w:hAnsi="Calibri"/>
        </w:rPr>
        <w:t>the McGill Library ended their laptop lending program in Summer2013;</w:t>
      </w:r>
    </w:p>
    <w:p w14:paraId="497C7099" w14:textId="77777777" w:rsidR="00800E86" w:rsidRDefault="00800E86" w:rsidP="00800E86">
      <w:pPr>
        <w:rPr>
          <w:rFonts w:ascii="Calibri" w:hAnsi="Calibri"/>
        </w:rPr>
      </w:pPr>
    </w:p>
    <w:p w14:paraId="67638368" w14:textId="6546FC98" w:rsidR="00800E86" w:rsidRDefault="00800E86" w:rsidP="00800E86">
      <w:pPr>
        <w:rPr>
          <w:rFonts w:ascii="Calibri" w:hAnsi="Calibri"/>
        </w:rPr>
      </w:pPr>
      <w:r>
        <w:rPr>
          <w:rFonts w:ascii="Calibri" w:hAnsi="Calibri"/>
          <w:b/>
        </w:rPr>
        <w:t>Whereas</w:t>
      </w:r>
      <w:r>
        <w:rPr>
          <w:rFonts w:ascii="Calibri" w:hAnsi="Calibri"/>
        </w:rPr>
        <w:t xml:space="preserve">, the Ferrier Lab has the administrative capacity to administer a laptop lending program, to be funded by the Arts Computer Lab Fund, an </w:t>
      </w:r>
      <w:proofErr w:type="spellStart"/>
      <w:r>
        <w:rPr>
          <w:rFonts w:ascii="Calibri" w:hAnsi="Calibri"/>
        </w:rPr>
        <w:t>optoutable</w:t>
      </w:r>
      <w:proofErr w:type="spellEnd"/>
      <w:r>
        <w:rPr>
          <w:rFonts w:ascii="Calibri" w:hAnsi="Calibri"/>
        </w:rPr>
        <w:t xml:space="preserve"> fee of $9.80 per semester for full time Arts students, pro-rated for part-time and B.A.&amp;</w:t>
      </w:r>
      <w:proofErr w:type="spellStart"/>
      <w:r>
        <w:rPr>
          <w:rFonts w:ascii="Calibri" w:hAnsi="Calibri"/>
        </w:rPr>
        <w:t>Sc</w:t>
      </w:r>
      <w:proofErr w:type="spellEnd"/>
      <w:r>
        <w:rPr>
          <w:rFonts w:ascii="Calibri" w:hAnsi="Calibri"/>
        </w:rPr>
        <w:t>. students;</w:t>
      </w:r>
    </w:p>
    <w:p w14:paraId="7B49769D" w14:textId="77777777" w:rsidR="00800E86" w:rsidRDefault="00800E86" w:rsidP="00800E86">
      <w:pPr>
        <w:rPr>
          <w:rFonts w:ascii="Calibri" w:hAnsi="Calibri"/>
        </w:rPr>
      </w:pPr>
    </w:p>
    <w:p w14:paraId="7713BCC3" w14:textId="47E8559F" w:rsidR="00800E86" w:rsidRDefault="00800E86" w:rsidP="00800E86">
      <w:pPr>
        <w:rPr>
          <w:rFonts w:ascii="Calibri" w:hAnsi="Calibri"/>
        </w:rPr>
      </w:pPr>
      <w:r>
        <w:rPr>
          <w:rFonts w:ascii="Calibri" w:hAnsi="Calibri"/>
          <w:b/>
        </w:rPr>
        <w:t>Whereas</w:t>
      </w:r>
      <w:r>
        <w:rPr>
          <w:rFonts w:ascii="Calibri" w:hAnsi="Calibri"/>
        </w:rPr>
        <w:t>, the AUS President and Computer Lab Supervisor have done research on laptop lending programs on campus and have developed a budget to begin the program;</w:t>
      </w:r>
    </w:p>
    <w:p w14:paraId="115F71BF" w14:textId="77777777" w:rsidR="00800E86" w:rsidRDefault="00800E86" w:rsidP="00800E86">
      <w:pPr>
        <w:rPr>
          <w:rFonts w:ascii="Calibri" w:hAnsi="Calibri"/>
        </w:rPr>
      </w:pPr>
    </w:p>
    <w:p w14:paraId="035DA29C" w14:textId="26D5E0AA" w:rsidR="00800E86" w:rsidRDefault="00800E86" w:rsidP="00800E86">
      <w:pPr>
        <w:rPr>
          <w:rFonts w:ascii="Calibri" w:hAnsi="Calibri"/>
        </w:rPr>
      </w:pPr>
      <w:r>
        <w:rPr>
          <w:rFonts w:ascii="Calibri" w:hAnsi="Calibri"/>
          <w:b/>
        </w:rPr>
        <w:t>Whereas</w:t>
      </w:r>
      <w:r>
        <w:rPr>
          <w:rFonts w:ascii="Calibri" w:hAnsi="Calibri"/>
        </w:rPr>
        <w:t>, in 2010-2011, the Arts Undergraduate Improvement Fund Committee (AUIFC) approved $57,466.28 to be paid out over four years for new chairs for the Faculty of Arts Computer Labs;</w:t>
      </w:r>
    </w:p>
    <w:p w14:paraId="4F8464CC" w14:textId="77777777" w:rsidR="00800E86" w:rsidRDefault="00800E86" w:rsidP="00800E86">
      <w:pPr>
        <w:rPr>
          <w:rFonts w:ascii="Calibri" w:hAnsi="Calibri"/>
        </w:rPr>
      </w:pPr>
    </w:p>
    <w:p w14:paraId="38291636" w14:textId="1FFA6794" w:rsidR="00800E86" w:rsidRDefault="00800E86" w:rsidP="00800E86">
      <w:pPr>
        <w:rPr>
          <w:rFonts w:ascii="Calibri" w:hAnsi="Calibri"/>
        </w:rPr>
      </w:pPr>
      <w:r>
        <w:rPr>
          <w:rFonts w:ascii="Calibri" w:hAnsi="Calibri"/>
          <w:b/>
        </w:rPr>
        <w:t>Whereas</w:t>
      </w:r>
      <w:r>
        <w:rPr>
          <w:rFonts w:ascii="Calibri" w:hAnsi="Calibri"/>
        </w:rPr>
        <w:t xml:space="preserve">, the Arts Computer Lab Fund bylaws were </w:t>
      </w:r>
      <w:r w:rsidR="00B309AF">
        <w:rPr>
          <w:rFonts w:ascii="Calibri" w:hAnsi="Calibri"/>
        </w:rPr>
        <w:t xml:space="preserve">ratified </w:t>
      </w:r>
      <w:r>
        <w:rPr>
          <w:rFonts w:ascii="Calibri" w:hAnsi="Calibri"/>
        </w:rPr>
        <w:t>in November 2013 following the creation of the fund in 2009-2010</w:t>
      </w:r>
      <w:r w:rsidR="00B309AF">
        <w:rPr>
          <w:rFonts w:ascii="Calibri" w:hAnsi="Calibri"/>
        </w:rPr>
        <w:t>, resulting in the build-up of funds in the ARCL fund;</w:t>
      </w:r>
      <w:bookmarkStart w:id="0" w:name="_GoBack"/>
      <w:bookmarkEnd w:id="0"/>
    </w:p>
    <w:p w14:paraId="2745A7B5" w14:textId="77777777" w:rsidR="00800E86" w:rsidRDefault="00800E86" w:rsidP="00800E86">
      <w:pPr>
        <w:rPr>
          <w:rFonts w:ascii="Calibri" w:hAnsi="Calibri"/>
        </w:rPr>
      </w:pPr>
    </w:p>
    <w:p w14:paraId="3F83B075" w14:textId="0920F49D" w:rsidR="00800E86" w:rsidRDefault="00800E86" w:rsidP="00800E86">
      <w:pPr>
        <w:rPr>
          <w:rFonts w:ascii="Calibri" w:hAnsi="Calibri"/>
        </w:rPr>
      </w:pPr>
      <w:r>
        <w:rPr>
          <w:rFonts w:ascii="Calibri" w:hAnsi="Calibri"/>
          <w:b/>
        </w:rPr>
        <w:t>Whereas</w:t>
      </w:r>
      <w:r>
        <w:rPr>
          <w:rFonts w:ascii="Calibri" w:hAnsi="Calibri"/>
        </w:rPr>
        <w:t>, it is more appropriate to have the final payment for computer lab furniture come from the ARCL fund instead of the AUIF;</w:t>
      </w:r>
    </w:p>
    <w:p w14:paraId="5174CE73" w14:textId="77777777" w:rsidR="00800E86" w:rsidRDefault="00800E86" w:rsidP="00800E86">
      <w:pPr>
        <w:rPr>
          <w:rFonts w:ascii="Calibri" w:hAnsi="Calibri"/>
        </w:rPr>
      </w:pPr>
    </w:p>
    <w:p w14:paraId="5054CE8D" w14:textId="737D48E4" w:rsidR="00800E86" w:rsidRDefault="00800E86" w:rsidP="00800E86">
      <w:pPr>
        <w:rPr>
          <w:rFonts w:ascii="Calibri" w:hAnsi="Calibri"/>
        </w:rPr>
      </w:pPr>
      <w:r>
        <w:rPr>
          <w:rFonts w:ascii="Calibri" w:hAnsi="Calibri"/>
          <w:b/>
        </w:rPr>
        <w:t>Whereas</w:t>
      </w:r>
      <w:r>
        <w:rPr>
          <w:rFonts w:ascii="Calibri" w:hAnsi="Calibri"/>
        </w:rPr>
        <w:t xml:space="preserve">, the Arts Computer Lab Fund Committee (ACLFC) convened on February 12, 2014, and unanimously approved the budgets for laptop lending and computer lab furniture (see attached budgets). </w:t>
      </w:r>
    </w:p>
    <w:p w14:paraId="62E4DE04" w14:textId="77777777" w:rsidR="00800E86" w:rsidRDefault="00800E86" w:rsidP="00800E86">
      <w:pPr>
        <w:rPr>
          <w:rFonts w:ascii="Calibri" w:hAnsi="Calibri"/>
        </w:rPr>
      </w:pPr>
    </w:p>
    <w:p w14:paraId="31317B0D" w14:textId="0D9102FD" w:rsidR="00800E86" w:rsidRPr="00800E86" w:rsidRDefault="00800E86" w:rsidP="00800E86">
      <w:pPr>
        <w:rPr>
          <w:rFonts w:ascii="Calibri" w:hAnsi="Calibri"/>
        </w:rPr>
      </w:pPr>
      <w:r>
        <w:rPr>
          <w:rFonts w:ascii="Calibri" w:hAnsi="Calibri"/>
          <w:b/>
        </w:rPr>
        <w:t>Be it resolved</w:t>
      </w:r>
      <w:r>
        <w:rPr>
          <w:rFonts w:ascii="Calibri" w:hAnsi="Calibri"/>
        </w:rPr>
        <w:t xml:space="preserve">, that AUS Legislative Council ratify the decision of the Arts Computer Lab Fund Committee of $120,000 for the Laptop Lending Program and $14,366.57 for Computer Lab Furniture. </w:t>
      </w:r>
    </w:p>
    <w:p w14:paraId="5F236E82" w14:textId="77777777" w:rsidR="00800E86" w:rsidRDefault="00800E86">
      <w:pPr>
        <w:rPr>
          <w:rFonts w:ascii="Calibri" w:hAnsi="Calibri"/>
          <w:b/>
        </w:rPr>
      </w:pPr>
    </w:p>
    <w:p w14:paraId="327F2C75" w14:textId="77777777" w:rsidR="00B309AF" w:rsidRDefault="00B309AF">
      <w:pPr>
        <w:rPr>
          <w:rFonts w:ascii="Calibri" w:hAnsi="Calibri"/>
          <w:b/>
        </w:rPr>
      </w:pPr>
    </w:p>
    <w:p w14:paraId="53D946AA" w14:textId="22E3E285" w:rsidR="00B309AF" w:rsidRDefault="00B309AF">
      <w:pPr>
        <w:rPr>
          <w:rFonts w:ascii="Calibri" w:hAnsi="Calibri"/>
          <w:b/>
        </w:rPr>
      </w:pPr>
      <w:r>
        <w:rPr>
          <w:rFonts w:ascii="Calibri" w:hAnsi="Calibri"/>
          <w:b/>
        </w:rPr>
        <w:t>Moved by:</w:t>
      </w:r>
    </w:p>
    <w:p w14:paraId="5178D082" w14:textId="1235E3F1" w:rsidR="00B309AF" w:rsidRDefault="00B309AF">
      <w:pPr>
        <w:rPr>
          <w:rFonts w:ascii="Calibri" w:hAnsi="Calibri"/>
          <w:b/>
        </w:rPr>
      </w:pPr>
      <w:r>
        <w:rPr>
          <w:rFonts w:ascii="Calibri" w:hAnsi="Calibri"/>
          <w:b/>
        </w:rPr>
        <w:t>Justin Fletcher, AUS President</w:t>
      </w:r>
    </w:p>
    <w:p w14:paraId="1B75D33F" w14:textId="3876560A" w:rsidR="00B309AF" w:rsidRDefault="00B309AF">
      <w:pPr>
        <w:rPr>
          <w:rFonts w:ascii="Calibri" w:hAnsi="Calibri"/>
          <w:b/>
        </w:rPr>
      </w:pPr>
      <w:r>
        <w:rPr>
          <w:rFonts w:ascii="Calibri" w:hAnsi="Calibri"/>
          <w:b/>
        </w:rPr>
        <w:t>Kareem Ibrahim, AUS VP External</w:t>
      </w:r>
    </w:p>
    <w:p w14:paraId="6D5361C4" w14:textId="77777777" w:rsidR="00800E86" w:rsidRDefault="00800E86">
      <w:pPr>
        <w:rPr>
          <w:rFonts w:ascii="Calibri" w:hAnsi="Calibri"/>
          <w:b/>
        </w:rPr>
      </w:pPr>
    </w:p>
    <w:p w14:paraId="347FF2DC" w14:textId="77777777" w:rsidR="00800E86" w:rsidRDefault="00800E8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98AB8FC" w14:textId="0F2C6088" w:rsidR="003872AF" w:rsidRPr="000C39F5" w:rsidRDefault="003872AF">
      <w:pPr>
        <w:rPr>
          <w:rFonts w:ascii="Calibri" w:hAnsi="Calibri"/>
          <w:b/>
        </w:rPr>
      </w:pPr>
      <w:r w:rsidRPr="000C39F5">
        <w:rPr>
          <w:rFonts w:ascii="Calibri" w:hAnsi="Calibri"/>
          <w:b/>
        </w:rPr>
        <w:lastRenderedPageBreak/>
        <w:t>LAPTOP LENDING</w:t>
      </w:r>
    </w:p>
    <w:p w14:paraId="55EF51E3" w14:textId="77777777" w:rsidR="005F390F" w:rsidRPr="000C39F5" w:rsidRDefault="005F390F">
      <w:pPr>
        <w:rPr>
          <w:rFonts w:ascii="Calibri" w:hAnsi="Calibri"/>
          <w:b/>
        </w:rPr>
      </w:pPr>
    </w:p>
    <w:p w14:paraId="05767025" w14:textId="740140E8" w:rsidR="005F390F" w:rsidRPr="000C39F5" w:rsidRDefault="000C39F5">
      <w:pPr>
        <w:rPr>
          <w:rFonts w:ascii="Calibri" w:hAnsi="Calibri"/>
        </w:rPr>
      </w:pPr>
      <w:r>
        <w:rPr>
          <w:rFonts w:ascii="Calibri" w:hAnsi="Calibri"/>
        </w:rPr>
        <w:t xml:space="preserve">Preamble: </w:t>
      </w:r>
      <w:r w:rsidR="005F390F" w:rsidRPr="000C39F5">
        <w:rPr>
          <w:rFonts w:ascii="Calibri" w:hAnsi="Calibri"/>
        </w:rPr>
        <w:t>This summer (2013), the McGill Library ended their laptop lending program (</w:t>
      </w:r>
      <w:hyperlink r:id="rId9" w:history="1">
        <w:r w:rsidR="005F390F" w:rsidRPr="000C39F5">
          <w:rPr>
            <w:rStyle w:val="Hyperlink"/>
            <w:rFonts w:ascii="Calibri" w:hAnsi="Calibri"/>
          </w:rPr>
          <w:t>https://www.mcgill.ca/library/node/7297</w:t>
        </w:r>
      </w:hyperlink>
      <w:r w:rsidR="005F390F" w:rsidRPr="000C39F5">
        <w:rPr>
          <w:rFonts w:ascii="Calibri" w:hAnsi="Calibri"/>
        </w:rPr>
        <w:t>). Given this ur</w:t>
      </w:r>
      <w:r w:rsidR="00D25C5E" w:rsidRPr="000C39F5">
        <w:rPr>
          <w:rFonts w:ascii="Calibri" w:hAnsi="Calibri"/>
        </w:rPr>
        <w:t xml:space="preserve">gent student need for computers, in case their computer breaks or is stolen, </w:t>
      </w:r>
      <w:r w:rsidR="005F390F" w:rsidRPr="000C39F5">
        <w:rPr>
          <w:rFonts w:ascii="Calibri" w:hAnsi="Calibri"/>
        </w:rPr>
        <w:t>and the availability of funds in the Arts Computer Lab Fund (ARCL), the following budget, if approved, would allow for the launch of a laptop lending program to be administered through the Ferrier Computer lab.</w:t>
      </w:r>
      <w:r w:rsidR="00D25C5E" w:rsidRPr="000C39F5">
        <w:rPr>
          <w:rFonts w:ascii="Calibri" w:hAnsi="Calibri"/>
        </w:rPr>
        <w:t xml:space="preserve"> The AUS President and Computer Lab Supervisor have done research on current (</w:t>
      </w:r>
      <w:proofErr w:type="spellStart"/>
      <w:r w:rsidR="00D25C5E" w:rsidRPr="000C39F5">
        <w:rPr>
          <w:rFonts w:ascii="Calibri" w:hAnsi="Calibri"/>
        </w:rPr>
        <w:t>Sandiford</w:t>
      </w:r>
      <w:proofErr w:type="spellEnd"/>
      <w:r w:rsidR="00D25C5E" w:rsidRPr="000C39F5">
        <w:rPr>
          <w:rFonts w:ascii="Calibri" w:hAnsi="Calibri"/>
        </w:rPr>
        <w:t xml:space="preserve"> Lab, Bronfman; Education Lab) and former (McGill Library) laptop lending programs at McGill to consolidate a list of best practices to be implemented within the Ferrier Lab. </w:t>
      </w:r>
    </w:p>
    <w:p w14:paraId="4DCA5161" w14:textId="77777777" w:rsidR="005F390F" w:rsidRPr="005F390F" w:rsidRDefault="005F390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268"/>
        <w:gridCol w:w="1080"/>
        <w:gridCol w:w="1080"/>
        <w:gridCol w:w="1260"/>
        <w:gridCol w:w="5335"/>
      </w:tblGrid>
      <w:tr w:rsidR="003872AF" w:rsidRPr="003872AF" w14:paraId="7ADAF6D6" w14:textId="77777777" w:rsidTr="00EE45A7">
        <w:tc>
          <w:tcPr>
            <w:tcW w:w="2268" w:type="dxa"/>
          </w:tcPr>
          <w:p w14:paraId="39E77A2F" w14:textId="77777777" w:rsidR="003872AF" w:rsidRPr="00EE45A7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5A7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1080" w:type="dxa"/>
          </w:tcPr>
          <w:p w14:paraId="0047205D" w14:textId="77777777" w:rsidR="003872AF" w:rsidRPr="00EE45A7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5A7"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1080" w:type="dxa"/>
          </w:tcPr>
          <w:p w14:paraId="43B1479B" w14:textId="77777777" w:rsidR="003872AF" w:rsidRPr="00EE45A7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5A7"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</w:tc>
        <w:tc>
          <w:tcPr>
            <w:tcW w:w="1260" w:type="dxa"/>
          </w:tcPr>
          <w:p w14:paraId="0314EB84" w14:textId="77777777" w:rsidR="003872AF" w:rsidRPr="00EE45A7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5A7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5335" w:type="dxa"/>
          </w:tcPr>
          <w:p w14:paraId="549BDF86" w14:textId="77777777" w:rsidR="003872AF" w:rsidRPr="00EE45A7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5A7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</w:tr>
      <w:tr w:rsidR="003872AF" w:rsidRPr="003872AF" w14:paraId="77545F6E" w14:textId="77777777" w:rsidTr="00EE45A7">
        <w:tc>
          <w:tcPr>
            <w:tcW w:w="2268" w:type="dxa"/>
          </w:tcPr>
          <w:p w14:paraId="3D3C7ACF" w14:textId="77777777" w:rsidR="003872AF" w:rsidRPr="003872AF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72AF">
              <w:rPr>
                <w:rFonts w:ascii="Calibri" w:hAnsi="Calibri"/>
                <w:b/>
                <w:sz w:val="22"/>
                <w:szCs w:val="22"/>
              </w:rPr>
              <w:t>MAC Laptops</w:t>
            </w:r>
          </w:p>
        </w:tc>
        <w:tc>
          <w:tcPr>
            <w:tcW w:w="1080" w:type="dxa"/>
          </w:tcPr>
          <w:p w14:paraId="544035D5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14:paraId="3E5E1607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$1914.73</w:t>
            </w:r>
          </w:p>
        </w:tc>
        <w:tc>
          <w:tcPr>
            <w:tcW w:w="1260" w:type="dxa"/>
          </w:tcPr>
          <w:p w14:paraId="3A7FE8BA" w14:textId="77777777" w:rsidR="003872AF" w:rsidRPr="003872AF" w:rsidRDefault="003872AF" w:rsidP="003872A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$</w:t>
            </w:r>
            <w:r w:rsidRPr="003872AF">
              <w:rPr>
                <w:rFonts w:ascii="Calibri" w:eastAsia="Times New Roman" w:hAnsi="Calibri" w:cs="Times New Roman"/>
                <w:color w:val="222222"/>
                <w:sz w:val="22"/>
                <w:szCs w:val="22"/>
                <w:shd w:val="clear" w:color="auto" w:fill="FFFFFF"/>
              </w:rPr>
              <w:t>38294.6</w:t>
            </w:r>
            <w:r w:rsidRPr="003872AF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  <w:tc>
          <w:tcPr>
            <w:tcW w:w="5335" w:type="dxa"/>
          </w:tcPr>
          <w:p w14:paraId="79296D46" w14:textId="6C8FE42F" w:rsidR="005E3161" w:rsidRDefault="003872AF" w:rsidP="005E316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872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MacBook Pro with Retina (256GB of hard drive, 8GB of RAM), $1914.73</w:t>
            </w:r>
            <w:r w:rsidR="0047561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  <w:r w:rsidR="005E31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Each unit contains: </w:t>
            </w:r>
          </w:p>
          <w:p w14:paraId="4551FC42" w14:textId="77777777" w:rsidR="005E3161" w:rsidRDefault="005E3161" w:rsidP="005E316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Two chargers (one for user, one for charging station)</w:t>
            </w:r>
          </w:p>
          <w:p w14:paraId="7547441E" w14:textId="77777777" w:rsidR="005E3161" w:rsidRDefault="005E3161" w:rsidP="005E316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Two adapters (one VGA, one DVI)</w:t>
            </w:r>
          </w:p>
          <w:p w14:paraId="4A0D326D" w14:textId="77777777" w:rsidR="005E3161" w:rsidRPr="005E3161" w:rsidRDefault="005E3161" w:rsidP="005E3161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 xml:space="preserve">AppleCare warranty (3 years) </w:t>
            </w:r>
          </w:p>
        </w:tc>
      </w:tr>
      <w:tr w:rsidR="003872AF" w:rsidRPr="003872AF" w14:paraId="457692C9" w14:textId="77777777" w:rsidTr="00EE45A7">
        <w:tc>
          <w:tcPr>
            <w:tcW w:w="2268" w:type="dxa"/>
          </w:tcPr>
          <w:p w14:paraId="7ADDE503" w14:textId="77777777" w:rsidR="003872AF" w:rsidRPr="003872AF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72AF">
              <w:rPr>
                <w:rFonts w:ascii="Calibri" w:hAnsi="Calibri"/>
                <w:b/>
                <w:sz w:val="22"/>
                <w:szCs w:val="22"/>
              </w:rPr>
              <w:t>LENOVO Laptops</w:t>
            </w:r>
          </w:p>
        </w:tc>
        <w:tc>
          <w:tcPr>
            <w:tcW w:w="1080" w:type="dxa"/>
          </w:tcPr>
          <w:p w14:paraId="2DA78D37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14:paraId="0FE14AD4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$2280.81</w:t>
            </w:r>
          </w:p>
        </w:tc>
        <w:tc>
          <w:tcPr>
            <w:tcW w:w="1260" w:type="dxa"/>
          </w:tcPr>
          <w:p w14:paraId="5100644E" w14:textId="77777777" w:rsidR="003872AF" w:rsidRPr="003872AF" w:rsidRDefault="003872AF" w:rsidP="003872AF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872AF">
              <w:rPr>
                <w:rFonts w:ascii="Calibri" w:eastAsia="Times New Roman" w:hAnsi="Calibri" w:cs="Times New Roman"/>
                <w:color w:val="222222"/>
                <w:sz w:val="22"/>
                <w:szCs w:val="22"/>
                <w:shd w:val="clear" w:color="auto" w:fill="FFFFFF"/>
              </w:rPr>
              <w:t>$45616.2</w:t>
            </w:r>
            <w:r w:rsidRPr="003872AF">
              <w:rPr>
                <w:rFonts w:ascii="Calibri" w:eastAsia="Times New Roman" w:hAnsi="Calibri" w:cs="Times New Roman"/>
                <w:sz w:val="22"/>
                <w:szCs w:val="22"/>
              </w:rPr>
              <w:t>0</w:t>
            </w:r>
          </w:p>
        </w:tc>
        <w:tc>
          <w:tcPr>
            <w:tcW w:w="5335" w:type="dxa"/>
          </w:tcPr>
          <w:p w14:paraId="5FC87A9F" w14:textId="7D0512EB" w:rsidR="005E3161" w:rsidRDefault="003872AF" w:rsidP="005E316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872AF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Lenovo ThinkPad T440s (180GB of hard drive, 8GB of RAM), $2280.81</w:t>
            </w:r>
            <w:r w:rsidR="0047561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. </w:t>
            </w:r>
            <w:r w:rsidR="005E316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Each unit contains:</w:t>
            </w:r>
          </w:p>
          <w:p w14:paraId="291516E8" w14:textId="77777777" w:rsidR="005E3161" w:rsidRDefault="005E3161" w:rsidP="005E316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Two chargers (one for user, one for charging station)</w:t>
            </w:r>
          </w:p>
          <w:p w14:paraId="291C8066" w14:textId="77777777" w:rsidR="003872AF" w:rsidRPr="005E3161" w:rsidRDefault="005E3161" w:rsidP="005E3161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 year on-site repair warranty</w:t>
            </w:r>
          </w:p>
        </w:tc>
      </w:tr>
      <w:tr w:rsidR="003872AF" w:rsidRPr="003872AF" w14:paraId="1DE73FCF" w14:textId="77777777" w:rsidTr="00EE45A7">
        <w:tc>
          <w:tcPr>
            <w:tcW w:w="2268" w:type="dxa"/>
          </w:tcPr>
          <w:p w14:paraId="70E9F8AA" w14:textId="77777777" w:rsidR="003872AF" w:rsidRPr="003872AF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872AF">
              <w:rPr>
                <w:rFonts w:ascii="Calibri" w:hAnsi="Calibri"/>
                <w:b/>
                <w:sz w:val="22"/>
                <w:szCs w:val="22"/>
              </w:rPr>
              <w:t>WebCheckOut</w:t>
            </w:r>
            <w:proofErr w:type="spellEnd"/>
            <w:r w:rsidRPr="003872AF">
              <w:rPr>
                <w:rFonts w:ascii="Calibri" w:hAnsi="Calibri"/>
                <w:b/>
                <w:sz w:val="22"/>
                <w:szCs w:val="22"/>
              </w:rPr>
              <w:t xml:space="preserve"> – Setup</w:t>
            </w:r>
          </w:p>
        </w:tc>
        <w:tc>
          <w:tcPr>
            <w:tcW w:w="1080" w:type="dxa"/>
          </w:tcPr>
          <w:p w14:paraId="5AF5952E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5 hours</w:t>
            </w:r>
          </w:p>
        </w:tc>
        <w:tc>
          <w:tcPr>
            <w:tcW w:w="1080" w:type="dxa"/>
          </w:tcPr>
          <w:p w14:paraId="1A68F6A1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$60/h</w:t>
            </w:r>
          </w:p>
        </w:tc>
        <w:tc>
          <w:tcPr>
            <w:tcW w:w="1260" w:type="dxa"/>
          </w:tcPr>
          <w:p w14:paraId="47CA4E10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$300</w:t>
            </w:r>
          </w:p>
        </w:tc>
        <w:tc>
          <w:tcPr>
            <w:tcW w:w="5335" w:type="dxa"/>
          </w:tcPr>
          <w:p w14:paraId="372191E8" w14:textId="4795F44B" w:rsidR="003872AF" w:rsidRPr="003872AF" w:rsidRDefault="003872AF" w:rsidP="005E3161">
            <w:pPr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Estimate given from Education computer lab setup (4 hours @ $60/</w:t>
            </w:r>
            <w:proofErr w:type="spellStart"/>
            <w:r w:rsidRPr="003872AF">
              <w:rPr>
                <w:rFonts w:ascii="Calibri" w:hAnsi="Calibri"/>
                <w:sz w:val="22"/>
                <w:szCs w:val="22"/>
              </w:rPr>
              <w:t>hr</w:t>
            </w:r>
            <w:proofErr w:type="spellEnd"/>
            <w:r w:rsidRPr="003872AF">
              <w:rPr>
                <w:rFonts w:ascii="Calibri" w:hAnsi="Calibri"/>
                <w:sz w:val="22"/>
                <w:szCs w:val="22"/>
              </w:rPr>
              <w:t>)</w:t>
            </w:r>
            <w:r w:rsidR="003B2F69">
              <w:rPr>
                <w:rFonts w:ascii="Calibri" w:hAnsi="Calibri"/>
                <w:sz w:val="22"/>
                <w:szCs w:val="22"/>
              </w:rPr>
              <w:t>. Estimate 5 hours to be conservative.</w:t>
            </w:r>
          </w:p>
        </w:tc>
      </w:tr>
      <w:tr w:rsidR="003872AF" w:rsidRPr="003872AF" w14:paraId="265036F4" w14:textId="77777777" w:rsidTr="00EE45A7">
        <w:tc>
          <w:tcPr>
            <w:tcW w:w="2268" w:type="dxa"/>
          </w:tcPr>
          <w:p w14:paraId="4B87A976" w14:textId="77777777" w:rsidR="003872AF" w:rsidRPr="003872AF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3872AF">
              <w:rPr>
                <w:rFonts w:ascii="Calibri" w:hAnsi="Calibri"/>
                <w:b/>
                <w:sz w:val="22"/>
                <w:szCs w:val="22"/>
              </w:rPr>
              <w:t>WebCheckOut</w:t>
            </w:r>
            <w:proofErr w:type="spellEnd"/>
            <w:r w:rsidRPr="003872AF">
              <w:rPr>
                <w:rFonts w:ascii="Calibri" w:hAnsi="Calibri"/>
                <w:b/>
                <w:sz w:val="22"/>
                <w:szCs w:val="22"/>
              </w:rPr>
              <w:t xml:space="preserve"> – Licensing Fee</w:t>
            </w:r>
          </w:p>
        </w:tc>
        <w:tc>
          <w:tcPr>
            <w:tcW w:w="1080" w:type="dxa"/>
          </w:tcPr>
          <w:p w14:paraId="2E7CF5BA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080" w:type="dxa"/>
          </w:tcPr>
          <w:p w14:paraId="0AEB9C97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BE3134B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$2000</w:t>
            </w:r>
          </w:p>
        </w:tc>
        <w:tc>
          <w:tcPr>
            <w:tcW w:w="5335" w:type="dxa"/>
          </w:tcPr>
          <w:p w14:paraId="2167CDD5" w14:textId="77777777" w:rsidR="003872AF" w:rsidRPr="003872AF" w:rsidRDefault="003872AF" w:rsidP="005E3161">
            <w:pPr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Per year, estimated cost. Waiting on actual cost from IT</w:t>
            </w:r>
            <w:r w:rsidR="005E3161">
              <w:rPr>
                <w:rFonts w:ascii="Calibri" w:hAnsi="Calibri"/>
                <w:sz w:val="22"/>
                <w:szCs w:val="22"/>
              </w:rPr>
              <w:t>. Web-based software to manage the rental of equipment.</w:t>
            </w:r>
          </w:p>
        </w:tc>
      </w:tr>
      <w:tr w:rsidR="003872AF" w:rsidRPr="003872AF" w14:paraId="4154DE3D" w14:textId="77777777" w:rsidTr="00EE45A7">
        <w:tc>
          <w:tcPr>
            <w:tcW w:w="2268" w:type="dxa"/>
          </w:tcPr>
          <w:p w14:paraId="6E58E88F" w14:textId="77777777" w:rsidR="003872AF" w:rsidRPr="003872AF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72AF">
              <w:rPr>
                <w:rFonts w:ascii="Calibri" w:hAnsi="Calibri"/>
                <w:b/>
                <w:sz w:val="22"/>
                <w:szCs w:val="22"/>
              </w:rPr>
              <w:t>STOP Plates</w:t>
            </w:r>
          </w:p>
        </w:tc>
        <w:tc>
          <w:tcPr>
            <w:tcW w:w="1080" w:type="dxa"/>
          </w:tcPr>
          <w:p w14:paraId="63DE9F72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14:paraId="6E97CF06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$15</w:t>
            </w:r>
          </w:p>
        </w:tc>
        <w:tc>
          <w:tcPr>
            <w:tcW w:w="1260" w:type="dxa"/>
          </w:tcPr>
          <w:p w14:paraId="50EE07A0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$600</w:t>
            </w:r>
          </w:p>
        </w:tc>
        <w:tc>
          <w:tcPr>
            <w:tcW w:w="5335" w:type="dxa"/>
          </w:tcPr>
          <w:p w14:paraId="6C778C79" w14:textId="2E236731" w:rsidR="003872AF" w:rsidRPr="003872AF" w:rsidRDefault="003872AF" w:rsidP="000C39F5">
            <w:pPr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Protect against theft and allow for tracking in case lo</w:t>
            </w:r>
            <w:r w:rsidR="000C39F5">
              <w:rPr>
                <w:rFonts w:ascii="Calibri" w:hAnsi="Calibri"/>
                <w:sz w:val="22"/>
                <w:szCs w:val="22"/>
              </w:rPr>
              <w:t>st. Received reduced rate from S</w:t>
            </w:r>
            <w:r w:rsidRPr="003872AF">
              <w:rPr>
                <w:rFonts w:ascii="Calibri" w:hAnsi="Calibri"/>
                <w:sz w:val="22"/>
                <w:szCs w:val="22"/>
              </w:rPr>
              <w:t xml:space="preserve">ecurity </w:t>
            </w:r>
            <w:r w:rsidR="000C39F5">
              <w:rPr>
                <w:rFonts w:ascii="Calibri" w:hAnsi="Calibri"/>
                <w:sz w:val="22"/>
                <w:szCs w:val="22"/>
              </w:rPr>
              <w:t xml:space="preserve">($15, not </w:t>
            </w:r>
            <w:r w:rsidRPr="003872AF">
              <w:rPr>
                <w:rFonts w:ascii="Calibri" w:hAnsi="Calibri"/>
                <w:sz w:val="22"/>
                <w:szCs w:val="22"/>
              </w:rPr>
              <w:t>$20/plate</w:t>
            </w:r>
            <w:r w:rsidR="000C39F5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872AF" w:rsidRPr="003872AF" w14:paraId="4ACCAB5B" w14:textId="77777777" w:rsidTr="003B2F69">
        <w:trPr>
          <w:trHeight w:val="975"/>
        </w:trPr>
        <w:tc>
          <w:tcPr>
            <w:tcW w:w="2268" w:type="dxa"/>
          </w:tcPr>
          <w:p w14:paraId="6FDEB3BB" w14:textId="4B1922FE" w:rsidR="003872AF" w:rsidRPr="003872AF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72AF">
              <w:rPr>
                <w:rFonts w:ascii="Calibri" w:hAnsi="Calibri"/>
                <w:b/>
                <w:sz w:val="22"/>
                <w:szCs w:val="22"/>
              </w:rPr>
              <w:t>Laptop Bags</w:t>
            </w:r>
          </w:p>
        </w:tc>
        <w:tc>
          <w:tcPr>
            <w:tcW w:w="1080" w:type="dxa"/>
          </w:tcPr>
          <w:p w14:paraId="4DA20A83" w14:textId="3B4B3266" w:rsidR="003872AF" w:rsidRPr="003872AF" w:rsidRDefault="002100F0" w:rsidP="003B2F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080" w:type="dxa"/>
          </w:tcPr>
          <w:p w14:paraId="5C7A2DE9" w14:textId="4FA04461" w:rsidR="003872AF" w:rsidRPr="003872AF" w:rsidRDefault="002100F0" w:rsidP="003B2F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See “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Descrip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1260" w:type="dxa"/>
          </w:tcPr>
          <w:p w14:paraId="56403A2E" w14:textId="506205E2" w:rsidR="003872AF" w:rsidRPr="003872AF" w:rsidRDefault="00E04BEC" w:rsidP="00E04B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$1126.14</w:t>
            </w:r>
          </w:p>
        </w:tc>
        <w:tc>
          <w:tcPr>
            <w:tcW w:w="5335" w:type="dxa"/>
          </w:tcPr>
          <w:p w14:paraId="4880332B" w14:textId="1BD84263" w:rsidR="003872AF" w:rsidRPr="002100F0" w:rsidRDefault="00E04BEC" w:rsidP="005E31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0F0">
              <w:rPr>
                <w:rFonts w:ascii="Calibri" w:hAnsi="Calibri"/>
                <w:b/>
                <w:sz w:val="22"/>
                <w:szCs w:val="22"/>
              </w:rPr>
              <w:t>MAC Cases: Case Logic, 20 @ 17.98/ea.</w:t>
            </w:r>
          </w:p>
          <w:p w14:paraId="60E791B1" w14:textId="7F6DF6B6" w:rsidR="00E04BEC" w:rsidRPr="00B11605" w:rsidRDefault="00495708" w:rsidP="005E3161">
            <w:pPr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E04BEC" w:rsidRPr="00B11605">
                <w:rPr>
                  <w:rStyle w:val="Hyperlink"/>
                  <w:rFonts w:ascii="Calibri" w:hAnsi="Calibri"/>
                  <w:sz w:val="22"/>
                  <w:szCs w:val="22"/>
                </w:rPr>
                <w:t>http://www.amazon.com/Caselogic-PAS-213-13-Inch-Macbook-Neoprene/dp/B002W5V8SE/ref=sr_1_2?ie=UTF8&amp;qid=1392081558&amp;sr=8-2&amp;keywords=case+logic+13%22+macbook</w:t>
              </w:r>
            </w:hyperlink>
            <w:r w:rsidR="00E04BEC" w:rsidRPr="00B1160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27796FF" w14:textId="77777777" w:rsidR="00E04BEC" w:rsidRPr="002100F0" w:rsidRDefault="00E04BEC" w:rsidP="005E31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0F0">
              <w:rPr>
                <w:rFonts w:ascii="Calibri" w:hAnsi="Calibri"/>
                <w:b/>
                <w:sz w:val="22"/>
                <w:szCs w:val="22"/>
              </w:rPr>
              <w:t>PC Cases: Case Logic, 20 @ 22.99/ea.</w:t>
            </w:r>
          </w:p>
          <w:p w14:paraId="05CE2310" w14:textId="184539ED" w:rsidR="00E04BEC" w:rsidRPr="00B11605" w:rsidRDefault="00495708" w:rsidP="005E3161">
            <w:pPr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E04BEC" w:rsidRPr="00B11605">
                <w:rPr>
                  <w:rStyle w:val="Hyperlink"/>
                  <w:rFonts w:ascii="Calibri" w:hAnsi="Calibri"/>
                  <w:sz w:val="22"/>
                  <w:szCs w:val="22"/>
                </w:rPr>
                <w:t>http://www.amazon.com/gp/product/B00AM9WMKU/ref=ox_sc_act_title_1?ie=UTF8&amp;psc=1&amp;smid=ATVPDKIKX0DER</w:t>
              </w:r>
            </w:hyperlink>
            <w:r w:rsidR="00E04BEC" w:rsidRPr="00B1160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904DE2F" w14:textId="558FE5F1" w:rsidR="00E04BEC" w:rsidRPr="002100F0" w:rsidRDefault="00E04BEC" w:rsidP="005E3161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0F0">
              <w:rPr>
                <w:rFonts w:ascii="Calibri" w:hAnsi="Calibri"/>
                <w:b/>
                <w:sz w:val="22"/>
                <w:szCs w:val="22"/>
              </w:rPr>
              <w:t>Shipping: $116.25; International deposit: $190.49</w:t>
            </w:r>
          </w:p>
        </w:tc>
      </w:tr>
      <w:tr w:rsidR="003872AF" w:rsidRPr="003872AF" w14:paraId="7C55BC0C" w14:textId="77777777" w:rsidTr="00EE45A7">
        <w:tc>
          <w:tcPr>
            <w:tcW w:w="2268" w:type="dxa"/>
          </w:tcPr>
          <w:p w14:paraId="28D6ACAF" w14:textId="76E9478D" w:rsidR="003872AF" w:rsidRPr="003872AF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72AF">
              <w:rPr>
                <w:rFonts w:ascii="Calibri" w:hAnsi="Calibri"/>
                <w:b/>
                <w:sz w:val="22"/>
                <w:szCs w:val="22"/>
              </w:rPr>
              <w:t xml:space="preserve">Laptop </w:t>
            </w:r>
            <w:r w:rsidR="003B2F69">
              <w:rPr>
                <w:rFonts w:ascii="Calibri" w:hAnsi="Calibri"/>
                <w:b/>
                <w:sz w:val="22"/>
                <w:szCs w:val="22"/>
              </w:rPr>
              <w:t xml:space="preserve">Protective </w:t>
            </w:r>
            <w:r w:rsidRPr="003872AF">
              <w:rPr>
                <w:rFonts w:ascii="Calibri" w:hAnsi="Calibri"/>
                <w:b/>
                <w:sz w:val="22"/>
                <w:szCs w:val="22"/>
              </w:rPr>
              <w:t>Cases (MAC)</w:t>
            </w:r>
          </w:p>
        </w:tc>
        <w:tc>
          <w:tcPr>
            <w:tcW w:w="1080" w:type="dxa"/>
          </w:tcPr>
          <w:p w14:paraId="4EAB7B42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080" w:type="dxa"/>
          </w:tcPr>
          <w:p w14:paraId="23A469F8" w14:textId="6D217A22" w:rsidR="003872AF" w:rsidRPr="003872AF" w:rsidRDefault="005E3161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791718">
              <w:rPr>
                <w:rFonts w:ascii="Calibri" w:hAnsi="Calibri"/>
                <w:sz w:val="22"/>
                <w:szCs w:val="22"/>
              </w:rPr>
              <w:t>30.98</w:t>
            </w:r>
          </w:p>
        </w:tc>
        <w:tc>
          <w:tcPr>
            <w:tcW w:w="1260" w:type="dxa"/>
          </w:tcPr>
          <w:p w14:paraId="75822482" w14:textId="778FADD0" w:rsidR="003872AF" w:rsidRPr="003872AF" w:rsidRDefault="003B2F69" w:rsidP="007917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791718">
              <w:rPr>
                <w:rFonts w:ascii="Calibri" w:hAnsi="Calibri"/>
                <w:sz w:val="22"/>
                <w:szCs w:val="22"/>
              </w:rPr>
              <w:t>619.60</w:t>
            </w:r>
          </w:p>
        </w:tc>
        <w:tc>
          <w:tcPr>
            <w:tcW w:w="5335" w:type="dxa"/>
          </w:tcPr>
          <w:p w14:paraId="674A5166" w14:textId="77777777" w:rsidR="003B2F69" w:rsidRDefault="003B2F69" w:rsidP="0079171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Speck, $</w:t>
            </w:r>
            <w:r w:rsidR="00791718">
              <w:rPr>
                <w:rFonts w:ascii="Calibri" w:hAnsi="Calibri"/>
                <w:sz w:val="22"/>
                <w:szCs w:val="22"/>
              </w:rPr>
              <w:t xml:space="preserve">30.98 each through </w:t>
            </w:r>
            <w:proofErr w:type="spellStart"/>
            <w:r w:rsidR="00791718">
              <w:rPr>
                <w:rFonts w:ascii="Calibri" w:hAnsi="Calibri"/>
                <w:sz w:val="22"/>
                <w:szCs w:val="22"/>
              </w:rPr>
              <w:t>Atlantia</w:t>
            </w:r>
            <w:proofErr w:type="spellEnd"/>
            <w:r w:rsidR="00791718">
              <w:rPr>
                <w:rFonts w:ascii="Calibri" w:hAnsi="Calibri"/>
                <w:sz w:val="22"/>
                <w:szCs w:val="22"/>
              </w:rPr>
              <w:t xml:space="preserve"> supplier</w:t>
            </w:r>
          </w:p>
          <w:p w14:paraId="1CBF9221" w14:textId="2386867E" w:rsidR="00791718" w:rsidRPr="003872AF" w:rsidRDefault="00495708" w:rsidP="00791718">
            <w:pPr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="00791718" w:rsidRPr="001D73F4">
                <w:rPr>
                  <w:rStyle w:val="Hyperlink"/>
                  <w:rFonts w:ascii="Calibri" w:hAnsi="Calibri"/>
                  <w:sz w:val="22"/>
                  <w:szCs w:val="22"/>
                </w:rPr>
                <w:t>http://www.speckproducts.com/macbook-cases/macbook-pro-with-retina-display.html</w:t>
              </w:r>
            </w:hyperlink>
            <w:r w:rsidR="0079171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872AF" w:rsidRPr="003872AF" w14:paraId="14EF7312" w14:textId="77777777" w:rsidTr="00EE45A7">
        <w:tc>
          <w:tcPr>
            <w:tcW w:w="2268" w:type="dxa"/>
          </w:tcPr>
          <w:p w14:paraId="001C242E" w14:textId="77777777" w:rsidR="003872AF" w:rsidRPr="003872AF" w:rsidRDefault="003872AF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872AF">
              <w:rPr>
                <w:rFonts w:ascii="Calibri" w:hAnsi="Calibri"/>
                <w:b/>
                <w:sz w:val="22"/>
                <w:szCs w:val="22"/>
              </w:rPr>
              <w:t>Charging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and Storage</w:t>
            </w:r>
            <w:r w:rsidRPr="003872AF">
              <w:rPr>
                <w:rFonts w:ascii="Calibri" w:hAnsi="Calibri"/>
                <w:b/>
                <w:sz w:val="22"/>
                <w:szCs w:val="22"/>
              </w:rPr>
              <w:t xml:space="preserve"> Station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3872AF">
              <w:rPr>
                <w:rFonts w:ascii="Calibri" w:hAnsi="Calibri"/>
                <w:b/>
                <w:sz w:val="22"/>
                <w:szCs w:val="22"/>
              </w:rPr>
              <w:t>/Unit</w:t>
            </w: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  <w:tc>
          <w:tcPr>
            <w:tcW w:w="1080" w:type="dxa"/>
          </w:tcPr>
          <w:p w14:paraId="52A4AA16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121E02BC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$1500</w:t>
            </w:r>
          </w:p>
        </w:tc>
        <w:tc>
          <w:tcPr>
            <w:tcW w:w="1260" w:type="dxa"/>
          </w:tcPr>
          <w:p w14:paraId="245BA803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72AF">
              <w:rPr>
                <w:rFonts w:ascii="Calibri" w:hAnsi="Calibri"/>
                <w:sz w:val="22"/>
                <w:szCs w:val="22"/>
              </w:rPr>
              <w:t>$3000</w:t>
            </w:r>
          </w:p>
        </w:tc>
        <w:tc>
          <w:tcPr>
            <w:tcW w:w="5335" w:type="dxa"/>
          </w:tcPr>
          <w:p w14:paraId="73440E8F" w14:textId="2962A5D2" w:rsidR="003872AF" w:rsidRPr="003872AF" w:rsidRDefault="003872AF" w:rsidP="005E31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Estimate.</w:t>
            </w:r>
            <w:r w:rsidR="000C39F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Possibility of obtaining</w:t>
            </w:r>
            <w:r w:rsidR="000C39F5">
              <w:rPr>
                <w:rFonts w:ascii="Calibri" w:hAnsi="Calibri"/>
                <w:sz w:val="22"/>
                <w:szCs w:val="22"/>
              </w:rPr>
              <w:t xml:space="preserve"> units</w:t>
            </w:r>
            <w:r>
              <w:rPr>
                <w:rFonts w:ascii="Calibri" w:hAnsi="Calibri"/>
                <w:sz w:val="22"/>
                <w:szCs w:val="22"/>
              </w:rPr>
              <w:t xml:space="preserve"> from the Library or </w:t>
            </w:r>
            <w:r w:rsidR="000C39F5">
              <w:rPr>
                <w:rFonts w:ascii="Calibri" w:hAnsi="Calibri"/>
                <w:sz w:val="22"/>
                <w:szCs w:val="22"/>
              </w:rPr>
              <w:t xml:space="preserve">Faculty of </w:t>
            </w:r>
            <w:r w:rsidR="003B2F69">
              <w:rPr>
                <w:rFonts w:ascii="Calibri" w:hAnsi="Calibri"/>
                <w:sz w:val="22"/>
                <w:szCs w:val="22"/>
              </w:rPr>
              <w:t>Education, which would reduce costs</w:t>
            </w:r>
          </w:p>
        </w:tc>
      </w:tr>
      <w:tr w:rsidR="003872AF" w:rsidRPr="003872AF" w14:paraId="38C4BFD2" w14:textId="77777777" w:rsidTr="00EE45A7">
        <w:tc>
          <w:tcPr>
            <w:tcW w:w="2268" w:type="dxa"/>
          </w:tcPr>
          <w:p w14:paraId="411E3B67" w14:textId="28FE60AE" w:rsidR="003872AF" w:rsidRPr="003872AF" w:rsidRDefault="00800E86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Amortization &amp; Replacement Costs</w:t>
            </w:r>
          </w:p>
        </w:tc>
        <w:tc>
          <w:tcPr>
            <w:tcW w:w="1080" w:type="dxa"/>
          </w:tcPr>
          <w:p w14:paraId="3FD9AB4B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8D4406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77639B" w14:textId="249D05C9" w:rsidR="003872AF" w:rsidRPr="003872AF" w:rsidRDefault="00800E86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$27970</w:t>
            </w:r>
          </w:p>
        </w:tc>
        <w:tc>
          <w:tcPr>
            <w:tcW w:w="5335" w:type="dxa"/>
          </w:tcPr>
          <w:p w14:paraId="693531CF" w14:textId="41CFCED9" w:rsidR="003872AF" w:rsidRPr="003872AF" w:rsidRDefault="00800E86" w:rsidP="005E316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Money to be set aside for replacement of laptops- 1/3 of laptop costs, to be refreshed every 3 years.</w:t>
            </w:r>
          </w:p>
        </w:tc>
      </w:tr>
      <w:tr w:rsidR="003872AF" w:rsidRPr="003872AF" w14:paraId="4CB46E33" w14:textId="77777777" w:rsidTr="00EE45A7">
        <w:tc>
          <w:tcPr>
            <w:tcW w:w="2268" w:type="dxa"/>
          </w:tcPr>
          <w:p w14:paraId="6EFFAB29" w14:textId="7D75E804" w:rsidR="003872AF" w:rsidRPr="003872AF" w:rsidRDefault="00800E86" w:rsidP="003872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Miscellaneous</w:t>
            </w:r>
          </w:p>
        </w:tc>
        <w:tc>
          <w:tcPr>
            <w:tcW w:w="1080" w:type="dxa"/>
          </w:tcPr>
          <w:p w14:paraId="615635DC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5D1D67" w14:textId="77777777" w:rsidR="003872AF" w:rsidRPr="003872AF" w:rsidRDefault="003872AF" w:rsidP="003872A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3DC225" w14:textId="564ED2EB" w:rsidR="003872AF" w:rsidRPr="00800E86" w:rsidRDefault="00800E86" w:rsidP="007917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Pr="00800E86">
              <w:rPr>
                <w:rFonts w:ascii="Calibri" w:hAnsi="Calibri"/>
                <w:sz w:val="22"/>
                <w:szCs w:val="22"/>
              </w:rPr>
              <w:t>473.46</w:t>
            </w:r>
          </w:p>
        </w:tc>
        <w:tc>
          <w:tcPr>
            <w:tcW w:w="5335" w:type="dxa"/>
          </w:tcPr>
          <w:p w14:paraId="6A4DFB74" w14:textId="77777777" w:rsidR="003872AF" w:rsidRPr="003872AF" w:rsidRDefault="003872AF" w:rsidP="005E316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0E86" w:rsidRPr="003872AF" w14:paraId="11AE106A" w14:textId="77777777" w:rsidTr="00EE45A7">
        <w:tc>
          <w:tcPr>
            <w:tcW w:w="2268" w:type="dxa"/>
          </w:tcPr>
          <w:p w14:paraId="33F5704A" w14:textId="04BE0067" w:rsidR="00800E86" w:rsidRPr="00800E86" w:rsidRDefault="00800E86" w:rsidP="003872AF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00E86">
              <w:rPr>
                <w:rFonts w:ascii="Calibri" w:hAnsi="Calibri"/>
                <w:b/>
                <w:sz w:val="22"/>
                <w:szCs w:val="22"/>
                <w:highlight w:val="yellow"/>
              </w:rPr>
              <w:t>TOTAL</w:t>
            </w:r>
          </w:p>
        </w:tc>
        <w:tc>
          <w:tcPr>
            <w:tcW w:w="1080" w:type="dxa"/>
          </w:tcPr>
          <w:p w14:paraId="69E19209" w14:textId="77777777" w:rsidR="00800E86" w:rsidRPr="00800E86" w:rsidRDefault="00800E86" w:rsidP="003872AF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080" w:type="dxa"/>
          </w:tcPr>
          <w:p w14:paraId="0DAC443B" w14:textId="77777777" w:rsidR="00800E86" w:rsidRPr="00800E86" w:rsidRDefault="00800E86" w:rsidP="003872AF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14:paraId="24C2408F" w14:textId="25A7C6E7" w:rsidR="00800E86" w:rsidRPr="00800E86" w:rsidRDefault="00800E86" w:rsidP="00791718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00E86">
              <w:rPr>
                <w:rFonts w:ascii="Calibri" w:hAnsi="Calibri"/>
                <w:b/>
                <w:sz w:val="22"/>
                <w:szCs w:val="22"/>
                <w:highlight w:val="yellow"/>
              </w:rPr>
              <w:t>$120,000</w:t>
            </w:r>
          </w:p>
        </w:tc>
        <w:tc>
          <w:tcPr>
            <w:tcW w:w="5335" w:type="dxa"/>
          </w:tcPr>
          <w:p w14:paraId="4B337F79" w14:textId="77777777" w:rsidR="00800E86" w:rsidRPr="00800E86" w:rsidRDefault="00800E86" w:rsidP="005E316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</w:tbl>
    <w:p w14:paraId="7E901BD4" w14:textId="77777777" w:rsidR="005F390F" w:rsidRDefault="005F390F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Appendices:</w:t>
      </w:r>
    </w:p>
    <w:p w14:paraId="7991C808" w14:textId="5F05B78F" w:rsidR="005F390F" w:rsidRPr="0016764B" w:rsidRDefault="005F390F" w:rsidP="005F390F">
      <w:pPr>
        <w:pStyle w:val="ListParagraph"/>
        <w:numPr>
          <w:ilvl w:val="0"/>
          <w:numId w:val="4"/>
        </w:numPr>
        <w:ind w:left="1080"/>
        <w:rPr>
          <w:rFonts w:ascii="Calibri" w:hAnsi="Calibri"/>
        </w:rPr>
      </w:pPr>
      <w:r w:rsidRPr="0016764B">
        <w:rPr>
          <w:rFonts w:ascii="Calibri" w:hAnsi="Calibri"/>
        </w:rPr>
        <w:t xml:space="preserve">Quote from MCS for </w:t>
      </w:r>
      <w:proofErr w:type="spellStart"/>
      <w:r w:rsidRPr="0016764B">
        <w:rPr>
          <w:rFonts w:ascii="Calibri" w:hAnsi="Calibri"/>
        </w:rPr>
        <w:t>Macbooks</w:t>
      </w:r>
      <w:proofErr w:type="spellEnd"/>
    </w:p>
    <w:p w14:paraId="684FF8B9" w14:textId="0815C47E" w:rsidR="005F390F" w:rsidRPr="0016764B" w:rsidRDefault="005F390F" w:rsidP="005F390F">
      <w:pPr>
        <w:pStyle w:val="ListParagraph"/>
        <w:numPr>
          <w:ilvl w:val="0"/>
          <w:numId w:val="4"/>
        </w:numPr>
        <w:ind w:left="1080"/>
        <w:rPr>
          <w:rFonts w:ascii="Calibri" w:hAnsi="Calibri"/>
        </w:rPr>
      </w:pPr>
      <w:r w:rsidRPr="0016764B">
        <w:rPr>
          <w:rFonts w:ascii="Calibri" w:hAnsi="Calibri"/>
        </w:rPr>
        <w:t>Quote from Info-Access for Lenovo Laptops</w:t>
      </w:r>
    </w:p>
    <w:p w14:paraId="2B2C6CC6" w14:textId="77777777" w:rsidR="002100F0" w:rsidRPr="002100F0" w:rsidRDefault="005F390F" w:rsidP="005F390F">
      <w:pPr>
        <w:pStyle w:val="ListParagraph"/>
        <w:numPr>
          <w:ilvl w:val="0"/>
          <w:numId w:val="4"/>
        </w:numPr>
        <w:ind w:left="1080"/>
        <w:rPr>
          <w:rFonts w:ascii="Calibri" w:hAnsi="Calibri"/>
          <w:b/>
        </w:rPr>
      </w:pPr>
      <w:r w:rsidRPr="0016764B">
        <w:rPr>
          <w:rFonts w:ascii="Calibri" w:hAnsi="Calibri"/>
        </w:rPr>
        <w:t>Email exchange with Alexandra Gregorian (McGill Security) regarding STOP Plates</w:t>
      </w:r>
    </w:p>
    <w:p w14:paraId="7AE247AB" w14:textId="77777777" w:rsidR="00791718" w:rsidRPr="00791718" w:rsidRDefault="002100F0" w:rsidP="005F390F">
      <w:pPr>
        <w:pStyle w:val="ListParagraph"/>
        <w:numPr>
          <w:ilvl w:val="0"/>
          <w:numId w:val="4"/>
        </w:numPr>
        <w:ind w:left="1080"/>
        <w:rPr>
          <w:rFonts w:ascii="Calibri" w:hAnsi="Calibri"/>
          <w:b/>
        </w:rPr>
      </w:pPr>
      <w:r>
        <w:rPr>
          <w:rFonts w:ascii="Calibri" w:hAnsi="Calibri"/>
        </w:rPr>
        <w:t xml:space="preserve">Laptop Cases Quote (Amazon) </w:t>
      </w:r>
    </w:p>
    <w:p w14:paraId="4D3411AE" w14:textId="341C01C0" w:rsidR="005F390F" w:rsidRPr="005F390F" w:rsidRDefault="00791718" w:rsidP="005F390F">
      <w:pPr>
        <w:pStyle w:val="ListParagraph"/>
        <w:numPr>
          <w:ilvl w:val="0"/>
          <w:numId w:val="4"/>
        </w:numPr>
        <w:ind w:left="1080"/>
        <w:rPr>
          <w:rFonts w:ascii="Calibri" w:hAnsi="Calibri"/>
          <w:b/>
        </w:rPr>
      </w:pPr>
      <w:r>
        <w:rPr>
          <w:rFonts w:ascii="Calibri" w:hAnsi="Calibri"/>
        </w:rPr>
        <w:t>Quote from Speck for Mac protective cases</w:t>
      </w:r>
      <w:r w:rsidR="005F390F" w:rsidRPr="005F390F">
        <w:rPr>
          <w:rFonts w:ascii="Calibri" w:hAnsi="Calibri"/>
          <w:b/>
        </w:rPr>
        <w:br w:type="page"/>
      </w:r>
    </w:p>
    <w:p w14:paraId="0090A440" w14:textId="797D0BA1" w:rsidR="003872AF" w:rsidRDefault="005F390F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COMPUTER LAB FURNITURE</w:t>
      </w:r>
    </w:p>
    <w:p w14:paraId="67CE04BE" w14:textId="77777777" w:rsidR="005F390F" w:rsidRDefault="005F390F">
      <w:pPr>
        <w:rPr>
          <w:rFonts w:ascii="Calibri" w:hAnsi="Calibri"/>
        </w:rPr>
      </w:pPr>
    </w:p>
    <w:p w14:paraId="6598DCBD" w14:textId="77777777" w:rsidR="005F390F" w:rsidRDefault="005F390F">
      <w:pPr>
        <w:rPr>
          <w:rFonts w:ascii="Calibri" w:hAnsi="Calibri"/>
        </w:rPr>
      </w:pPr>
      <w:r>
        <w:rPr>
          <w:rFonts w:ascii="Calibri" w:hAnsi="Calibri"/>
        </w:rPr>
        <w:t xml:space="preserve">Preamble: </w:t>
      </w:r>
    </w:p>
    <w:p w14:paraId="06BFE665" w14:textId="1648BAC6" w:rsidR="00F70C42" w:rsidRDefault="00F70C42">
      <w:pPr>
        <w:rPr>
          <w:rFonts w:ascii="Calibri" w:hAnsi="Calibri"/>
        </w:rPr>
      </w:pPr>
      <w:r>
        <w:rPr>
          <w:rFonts w:ascii="Calibri" w:hAnsi="Calibri"/>
        </w:rPr>
        <w:t xml:space="preserve">In the 2010-2011 year, </w:t>
      </w:r>
      <w:r w:rsidR="005F390F">
        <w:rPr>
          <w:rFonts w:ascii="Calibri" w:hAnsi="Calibri"/>
        </w:rPr>
        <w:t>the Arts Undergraduate Improvement Fund Committee (AUIFC) approved the allocation of $57,466.28 for the purchase of 120 chairs for the Faculty of Arts Computer Labs (Ferrier Lab and Arts Lounge Lab), to be paid in four equal installments ($14,366.57) out of the AUIF: 2010-11, 2011-12, 2012-13,</w:t>
      </w:r>
      <w:r w:rsidR="004747A1">
        <w:rPr>
          <w:rFonts w:ascii="Calibri" w:hAnsi="Calibri"/>
        </w:rPr>
        <w:t xml:space="preserve"> and finally,</w:t>
      </w:r>
      <w:r w:rsidR="005F390F">
        <w:rPr>
          <w:rFonts w:ascii="Calibri" w:hAnsi="Calibri"/>
        </w:rPr>
        <w:t xml:space="preserve"> 2013-14.</w:t>
      </w:r>
      <w:r w:rsidR="004747A1">
        <w:rPr>
          <w:rFonts w:ascii="Calibri" w:hAnsi="Calibri"/>
        </w:rPr>
        <w:t xml:space="preserve"> During the 2013-2014 year, it was discovered that by-laws did not exist for the distribution of the Arts Computer Lab Fund, meaning that funds have been accumulating since the break-up of the AUIF into AUIF and ARCL funds in </w:t>
      </w:r>
      <w:proofErr w:type="gramStart"/>
      <w:r w:rsidR="004747A1">
        <w:rPr>
          <w:rFonts w:ascii="Calibri" w:hAnsi="Calibri"/>
        </w:rPr>
        <w:t>Winter</w:t>
      </w:r>
      <w:proofErr w:type="gramEnd"/>
      <w:r w:rsidR="004747A1">
        <w:rPr>
          <w:rFonts w:ascii="Calibri" w:hAnsi="Calibri"/>
        </w:rPr>
        <w:t xml:space="preserve"> 2010. </w:t>
      </w:r>
      <w:r w:rsidR="005F390F">
        <w:rPr>
          <w:rFonts w:ascii="Calibri" w:hAnsi="Calibri"/>
        </w:rPr>
        <w:t xml:space="preserve">To allow for additional projects to be funded by the AUIFC this year, such as faculty-initiated proposals and major improvements to the McLennan Library, and to use the </w:t>
      </w:r>
      <w:r w:rsidR="004747A1">
        <w:rPr>
          <w:rFonts w:ascii="Calibri" w:hAnsi="Calibri"/>
        </w:rPr>
        <w:t xml:space="preserve">existing </w:t>
      </w:r>
      <w:r w:rsidR="005F390F">
        <w:rPr>
          <w:rFonts w:ascii="Calibri" w:hAnsi="Calibri"/>
        </w:rPr>
        <w:t xml:space="preserve">ARCL funding to improve the labs, I would like to request that the fourth payout ($14,366.57) for 2013-14 come out of the Arts Computer Lab Fund </w:t>
      </w:r>
      <w:r w:rsidR="004747A1">
        <w:rPr>
          <w:rFonts w:ascii="Calibri" w:hAnsi="Calibri"/>
        </w:rPr>
        <w:t>instead of</w:t>
      </w:r>
      <w:r w:rsidR="005F390F">
        <w:rPr>
          <w:rFonts w:ascii="Calibri" w:hAnsi="Calibri"/>
        </w:rPr>
        <w:t xml:space="preserve"> the Arts Undergraduate Improvement Fund. </w:t>
      </w:r>
    </w:p>
    <w:p w14:paraId="3B1AE5FA" w14:textId="77777777" w:rsidR="005F390F" w:rsidRDefault="005F390F">
      <w:pPr>
        <w:rPr>
          <w:rFonts w:ascii="Calibri" w:hAnsi="Calibri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078"/>
        <w:gridCol w:w="1170"/>
        <w:gridCol w:w="1247"/>
        <w:gridCol w:w="1417"/>
        <w:gridCol w:w="4111"/>
      </w:tblGrid>
      <w:tr w:rsidR="005F390F" w:rsidRPr="003872AF" w14:paraId="44F3B876" w14:textId="77777777" w:rsidTr="00EE45A7">
        <w:tc>
          <w:tcPr>
            <w:tcW w:w="3078" w:type="dxa"/>
          </w:tcPr>
          <w:p w14:paraId="136A9756" w14:textId="77777777" w:rsidR="005F390F" w:rsidRPr="00EE45A7" w:rsidRDefault="005F390F" w:rsidP="00502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5A7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1170" w:type="dxa"/>
          </w:tcPr>
          <w:p w14:paraId="7B3C747D" w14:textId="77777777" w:rsidR="005F390F" w:rsidRPr="00EE45A7" w:rsidRDefault="005F390F" w:rsidP="00502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5A7">
              <w:rPr>
                <w:rFonts w:ascii="Calibri" w:hAnsi="Calibri"/>
                <w:b/>
                <w:sz w:val="22"/>
                <w:szCs w:val="22"/>
              </w:rPr>
              <w:t>Quantity</w:t>
            </w:r>
          </w:p>
        </w:tc>
        <w:tc>
          <w:tcPr>
            <w:tcW w:w="1247" w:type="dxa"/>
          </w:tcPr>
          <w:p w14:paraId="594DCCBB" w14:textId="77777777" w:rsidR="005F390F" w:rsidRPr="00EE45A7" w:rsidRDefault="005F390F" w:rsidP="00502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5A7">
              <w:rPr>
                <w:rFonts w:ascii="Calibri" w:hAnsi="Calibri"/>
                <w:b/>
                <w:sz w:val="22"/>
                <w:szCs w:val="22"/>
              </w:rPr>
              <w:t>Price</w:t>
            </w:r>
          </w:p>
        </w:tc>
        <w:tc>
          <w:tcPr>
            <w:tcW w:w="1417" w:type="dxa"/>
          </w:tcPr>
          <w:p w14:paraId="18B3FC60" w14:textId="77777777" w:rsidR="005F390F" w:rsidRPr="00EE45A7" w:rsidRDefault="005F390F" w:rsidP="00502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5A7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111" w:type="dxa"/>
          </w:tcPr>
          <w:p w14:paraId="4BE5AB91" w14:textId="77777777" w:rsidR="005F390F" w:rsidRPr="00EE45A7" w:rsidRDefault="005F390F" w:rsidP="00502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E45A7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</w:tr>
      <w:tr w:rsidR="005F390F" w:rsidRPr="005E3161" w14:paraId="1AFC3243" w14:textId="77777777" w:rsidTr="00800E86">
        <w:trPr>
          <w:trHeight w:val="323"/>
        </w:trPr>
        <w:tc>
          <w:tcPr>
            <w:tcW w:w="3078" w:type="dxa"/>
          </w:tcPr>
          <w:p w14:paraId="036C9774" w14:textId="77FAE766" w:rsidR="005F390F" w:rsidRDefault="005F390F" w:rsidP="00502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Chairs for Computer Labs</w:t>
            </w:r>
          </w:p>
          <w:p w14:paraId="54F85817" w14:textId="7F1607F7" w:rsidR="005F390F" w:rsidRPr="003872AF" w:rsidRDefault="005F390F" w:rsidP="00502E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58404C" w14:textId="11EB29E3" w:rsidR="005F390F" w:rsidRPr="003872AF" w:rsidRDefault="00150BDE" w:rsidP="00502E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1/4 (30 chairs)</w:t>
            </w:r>
          </w:p>
        </w:tc>
        <w:tc>
          <w:tcPr>
            <w:tcW w:w="1247" w:type="dxa"/>
          </w:tcPr>
          <w:p w14:paraId="12A78A90" w14:textId="211CC5A6" w:rsidR="005F390F" w:rsidRPr="003872AF" w:rsidRDefault="005F390F" w:rsidP="00502E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$57,466.28</w:t>
            </w:r>
          </w:p>
        </w:tc>
        <w:tc>
          <w:tcPr>
            <w:tcW w:w="1417" w:type="dxa"/>
          </w:tcPr>
          <w:p w14:paraId="407B7FD1" w14:textId="44149F31" w:rsidR="005F390F" w:rsidRPr="00150BDE" w:rsidRDefault="005F390F" w:rsidP="00502E77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50BDE">
              <w:rPr>
                <w:rFonts w:ascii="Calibri" w:hAnsi="Calibri"/>
                <w:sz w:val="22"/>
                <w:szCs w:val="22"/>
              </w:rPr>
              <w:t>$14,366.57</w:t>
            </w:r>
          </w:p>
        </w:tc>
        <w:tc>
          <w:tcPr>
            <w:tcW w:w="4111" w:type="dxa"/>
          </w:tcPr>
          <w:p w14:paraId="059E0A42" w14:textId="0B3C81C0" w:rsidR="005F390F" w:rsidRPr="00150BDE" w:rsidRDefault="00150BDE" w:rsidP="005F390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50BDE">
              <w:rPr>
                <w:rFonts w:ascii="Calibri" w:hAnsi="Calibri"/>
                <w:sz w:val="22"/>
                <w:szCs w:val="22"/>
              </w:rPr>
              <w:t>Fourth payout from original AUIF proposal (2010-2011)</w:t>
            </w:r>
          </w:p>
        </w:tc>
      </w:tr>
      <w:tr w:rsidR="00150BDE" w:rsidRPr="005E3161" w14:paraId="4AF8506C" w14:textId="77777777" w:rsidTr="00EE45A7">
        <w:tc>
          <w:tcPr>
            <w:tcW w:w="3078" w:type="dxa"/>
          </w:tcPr>
          <w:p w14:paraId="6F3EF545" w14:textId="49983F3F" w:rsidR="00150BDE" w:rsidRPr="00800E86" w:rsidRDefault="00150BDE" w:rsidP="00502E7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00E86">
              <w:rPr>
                <w:rFonts w:ascii="Calibri" w:hAnsi="Calibri"/>
                <w:b/>
                <w:sz w:val="22"/>
                <w:szCs w:val="22"/>
                <w:highlight w:val="yellow"/>
              </w:rPr>
              <w:t>TOTAL</w:t>
            </w:r>
          </w:p>
        </w:tc>
        <w:tc>
          <w:tcPr>
            <w:tcW w:w="1170" w:type="dxa"/>
          </w:tcPr>
          <w:p w14:paraId="5D543DE4" w14:textId="77777777" w:rsidR="00150BDE" w:rsidRPr="00800E86" w:rsidRDefault="00150BDE" w:rsidP="00502E7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247" w:type="dxa"/>
          </w:tcPr>
          <w:p w14:paraId="03D74E57" w14:textId="77777777" w:rsidR="00150BDE" w:rsidRPr="00800E86" w:rsidRDefault="00150BDE" w:rsidP="00502E7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5E51267" w14:textId="611CF97C" w:rsidR="00150BDE" w:rsidRPr="00800E86" w:rsidRDefault="00150BDE" w:rsidP="00502E77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800E86">
              <w:rPr>
                <w:rFonts w:ascii="Calibri" w:hAnsi="Calibri"/>
                <w:b/>
                <w:sz w:val="22"/>
                <w:szCs w:val="22"/>
                <w:highlight w:val="yellow"/>
              </w:rPr>
              <w:t>$14,366.57</w:t>
            </w:r>
          </w:p>
        </w:tc>
        <w:tc>
          <w:tcPr>
            <w:tcW w:w="4111" w:type="dxa"/>
          </w:tcPr>
          <w:p w14:paraId="6FFFFF76" w14:textId="77777777" w:rsidR="00150BDE" w:rsidRPr="00800E86" w:rsidRDefault="00150BDE" w:rsidP="005F390F">
            <w:pPr>
              <w:rPr>
                <w:rFonts w:ascii="Calibri" w:eastAsia="Times New Roman" w:hAnsi="Calibri" w:cs="Times New Roman"/>
                <w:sz w:val="22"/>
                <w:szCs w:val="22"/>
                <w:highlight w:val="yellow"/>
              </w:rPr>
            </w:pPr>
          </w:p>
        </w:tc>
      </w:tr>
    </w:tbl>
    <w:p w14:paraId="461FD636" w14:textId="77777777" w:rsidR="005F390F" w:rsidRDefault="005F390F">
      <w:pPr>
        <w:rPr>
          <w:rFonts w:ascii="Calibri" w:hAnsi="Calibri"/>
        </w:rPr>
      </w:pPr>
    </w:p>
    <w:p w14:paraId="4E69B78C" w14:textId="24585CEE" w:rsidR="005F390F" w:rsidRDefault="005F390F">
      <w:pPr>
        <w:rPr>
          <w:rFonts w:ascii="Calibri" w:hAnsi="Calibri"/>
          <w:b/>
        </w:rPr>
      </w:pPr>
      <w:r>
        <w:rPr>
          <w:rFonts w:ascii="Calibri" w:hAnsi="Calibri"/>
          <w:b/>
        </w:rPr>
        <w:t>Appendix:</w:t>
      </w:r>
    </w:p>
    <w:p w14:paraId="48B35F35" w14:textId="5BDBE718" w:rsidR="005F390F" w:rsidRPr="005F390F" w:rsidRDefault="005F390F" w:rsidP="005F390F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AUIF proposal for computer lab furniture for </w:t>
      </w:r>
      <w:r w:rsidR="0071508A">
        <w:rPr>
          <w:rFonts w:ascii="Calibri" w:hAnsi="Calibri"/>
        </w:rPr>
        <w:t>2010-2011 (approved by AUIFC)</w:t>
      </w:r>
    </w:p>
    <w:sectPr w:rsidR="005F390F" w:rsidRPr="005F390F" w:rsidSect="003872AF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4F70" w14:textId="77777777" w:rsidR="00EE45A7" w:rsidRDefault="00EE45A7" w:rsidP="00EE45A7">
      <w:r>
        <w:separator/>
      </w:r>
    </w:p>
  </w:endnote>
  <w:endnote w:type="continuationSeparator" w:id="0">
    <w:p w14:paraId="45DA90A8" w14:textId="77777777" w:rsidR="00EE45A7" w:rsidRDefault="00EE45A7" w:rsidP="00EE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775AC" w14:textId="77777777" w:rsidR="00EE45A7" w:rsidRDefault="00EE45A7" w:rsidP="00EE45A7">
      <w:r>
        <w:separator/>
      </w:r>
    </w:p>
  </w:footnote>
  <w:footnote w:type="continuationSeparator" w:id="0">
    <w:p w14:paraId="0B9B2FA0" w14:textId="77777777" w:rsidR="00EE45A7" w:rsidRDefault="00EE45A7" w:rsidP="00EE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887D2" w14:textId="77777777" w:rsidR="00EE45A7" w:rsidRDefault="00EE45A7" w:rsidP="00EE45A7">
    <w:pPr>
      <w:jc w:val="center"/>
      <w:rPr>
        <w:rFonts w:ascii="Calibri" w:hAnsi="Calibri"/>
        <w:b/>
        <w:sz w:val="22"/>
        <w:szCs w:val="22"/>
      </w:rPr>
    </w:pPr>
    <w:r w:rsidRPr="00F70C42">
      <w:rPr>
        <w:rFonts w:ascii="Calibri" w:hAnsi="Calibri"/>
        <w:b/>
        <w:sz w:val="22"/>
        <w:szCs w:val="22"/>
      </w:rPr>
      <w:t>Arts Computer Lab Fund Committee</w:t>
    </w:r>
  </w:p>
  <w:p w14:paraId="13DF502B" w14:textId="14FE284C" w:rsidR="00EE45A7" w:rsidRDefault="00EE45A7" w:rsidP="00EE45A7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 xml:space="preserve">Budgets </w:t>
    </w:r>
    <w:r w:rsidR="00D3064D">
      <w:rPr>
        <w:rFonts w:ascii="Calibri" w:hAnsi="Calibri"/>
        <w:b/>
        <w:sz w:val="22"/>
        <w:szCs w:val="22"/>
      </w:rPr>
      <w:t>Submitted for Approval</w:t>
    </w:r>
  </w:p>
  <w:p w14:paraId="79134308" w14:textId="77777777" w:rsidR="00EE45A7" w:rsidRPr="00F70C42" w:rsidRDefault="00EE45A7" w:rsidP="00EE45A7">
    <w:pPr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Wednesday, February 12, 2014</w:t>
    </w:r>
  </w:p>
  <w:p w14:paraId="17FB74D1" w14:textId="77777777" w:rsidR="00EE45A7" w:rsidRDefault="00EE4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9D1"/>
    <w:multiLevelType w:val="hybridMultilevel"/>
    <w:tmpl w:val="DD7EBF1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ABA3091"/>
    <w:multiLevelType w:val="hybridMultilevel"/>
    <w:tmpl w:val="D8D624B8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50A2AC1"/>
    <w:multiLevelType w:val="hybridMultilevel"/>
    <w:tmpl w:val="DB90B1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FD25984"/>
    <w:multiLevelType w:val="hybridMultilevel"/>
    <w:tmpl w:val="E034D02C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>
    <w:nsid w:val="6CF1172F"/>
    <w:multiLevelType w:val="hybridMultilevel"/>
    <w:tmpl w:val="276E0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F"/>
    <w:rsid w:val="000C39F5"/>
    <w:rsid w:val="00150BDE"/>
    <w:rsid w:val="0016764B"/>
    <w:rsid w:val="002100F0"/>
    <w:rsid w:val="00313B15"/>
    <w:rsid w:val="003872AF"/>
    <w:rsid w:val="003B2F69"/>
    <w:rsid w:val="004747A1"/>
    <w:rsid w:val="0047561B"/>
    <w:rsid w:val="004B52AD"/>
    <w:rsid w:val="004C63FA"/>
    <w:rsid w:val="005E3161"/>
    <w:rsid w:val="005F390F"/>
    <w:rsid w:val="0071508A"/>
    <w:rsid w:val="00791718"/>
    <w:rsid w:val="00800E86"/>
    <w:rsid w:val="00B11605"/>
    <w:rsid w:val="00B309AF"/>
    <w:rsid w:val="00CA5F46"/>
    <w:rsid w:val="00D25C5E"/>
    <w:rsid w:val="00D3064D"/>
    <w:rsid w:val="00E04BEC"/>
    <w:rsid w:val="00EE45A7"/>
    <w:rsid w:val="00F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EC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5A7"/>
  </w:style>
  <w:style w:type="paragraph" w:styleId="Footer">
    <w:name w:val="footer"/>
    <w:basedOn w:val="Normal"/>
    <w:link w:val="FooterChar"/>
    <w:uiPriority w:val="99"/>
    <w:unhideWhenUsed/>
    <w:rsid w:val="00EE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5A7"/>
  </w:style>
  <w:style w:type="paragraph" w:styleId="Footer">
    <w:name w:val="footer"/>
    <w:basedOn w:val="Normal"/>
    <w:link w:val="FooterChar"/>
    <w:uiPriority w:val="99"/>
    <w:unhideWhenUsed/>
    <w:rsid w:val="00EE4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peckproducts.com/macbook-cases/macbook-pro-with-retina-displa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zon.com/gp/product/B00AM9WMKU/ref=ox_sc_act_title_1?ie=UTF8&amp;psc=1&amp;smid=ATVPDKIKX0DE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azon.com/Caselogic-PAS-213-13-Inch-Macbook-Neoprene/dp/B002W5V8SE/ref=sr_1_2?ie=UTF8&amp;qid=1392081558&amp;sr=8-2&amp;keywords=case+logic+13%22+macbo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cgill.ca/library/node/72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E6609-C460-4869-8930-C304121A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Fletcher</dc:creator>
  <cp:lastModifiedBy>Justin Fletcher</cp:lastModifiedBy>
  <cp:revision>2</cp:revision>
  <cp:lastPrinted>2014-02-12T22:14:00Z</cp:lastPrinted>
  <dcterms:created xsi:type="dcterms:W3CDTF">2014-02-12T22:24:00Z</dcterms:created>
  <dcterms:modified xsi:type="dcterms:W3CDTF">2014-02-12T22:24:00Z</dcterms:modified>
</cp:coreProperties>
</file>