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u w:val="single"/>
          <w:rtl w:val="0"/>
        </w:rPr>
        <w:t xml:space="preserve">Motion to Vote on Shortlist for Renaming JD and Champagne Rooms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w:t>
      </w:r>
      <w:r w:rsidRPr="00000000" w:rsidR="00000000" w:rsidDel="00000000">
        <w:rPr>
          <w:rtl w:val="0"/>
        </w:rPr>
        <w:t xml:space="preserve"> AUS Legisative Council passed a motion on September 17th resolving to rename the Champagne and Jack Daniels Rooms following the process outlined below,</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In its next listserv, the AUS announce the initiative and make a callout for nominations to be submitted by email within a one week period;</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At the next meeting of AUS Council after the deadline to submit nominations, Council will vote by ranked ballot to shortlist the top 5 nominations, in accordance with AUS bylaws and giving consideration to the AUS Equity Policy;</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A ballot with the shortlisted nominations will be sent out for all AUS members to vote on their top 2 choices</w:t>
      </w:r>
    </w:p>
    <w:p w:rsidP="00000000" w:rsidRPr="00000000" w:rsidR="00000000" w:rsidDel="00000000" w:rsidRDefault="00000000">
      <w:pPr>
        <w:numPr>
          <w:ilvl w:val="0"/>
          <w:numId w:val="1"/>
        </w:numPr>
        <w:spacing w:lineRule="auto" w:line="360"/>
        <w:ind w:left="1440" w:hanging="359"/>
        <w:contextualSpacing w:val="1"/>
        <w:rPr/>
      </w:pPr>
      <w:r w:rsidRPr="00000000" w:rsidR="00000000" w:rsidDel="00000000">
        <w:rPr>
          <w:rtl w:val="0"/>
        </w:rPr>
        <w:t xml:space="preserve">The AUS will officially rename these rooms and place appropriate signage to mark their locations by the beginning of the fall semester exam period (December 8, 2014)</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Whereas </w:t>
      </w:r>
      <w:r w:rsidRPr="00000000" w:rsidR="00000000" w:rsidDel="00000000">
        <w:rPr>
          <w:rtl w:val="0"/>
        </w:rPr>
        <w:t xml:space="preserve">a callout was sent out over special listserv, and several nominations have been collected (see appendix 1 for full list)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Be it resolved </w:t>
      </w:r>
      <w:r w:rsidRPr="00000000" w:rsidR="00000000" w:rsidDel="00000000">
        <w:rPr>
          <w:rtl w:val="0"/>
        </w:rPr>
        <w:t xml:space="preserve">that the AUS shortlist 5 nominees for renaming the JD and Champagne Rooms from the list in appendix 1, using the ballot in appendix 2.</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Be it further resolved </w:t>
      </w:r>
      <w:r w:rsidRPr="00000000" w:rsidR="00000000" w:rsidDel="00000000">
        <w:rPr>
          <w:rtl w:val="0"/>
        </w:rPr>
        <w:t xml:space="preserve">that after nominations are shortlisted, the AUS carries out parts 3 and 4 of the process outlined above</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Respectfully Submitted,</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Vincent Simboli, CLASHSA Representative</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t xml:space="preserve">Jacob Greenspon, Arts Senator</w:t>
      </w:r>
    </w:p>
    <w:p w:rsidP="00000000" w:rsidRPr="00000000" w:rsidR="00000000" w:rsidDel="00000000" w:rsidRDefault="00000000">
      <w:pPr>
        <w:keepNext w:val="0"/>
        <w:keepLines w:val="0"/>
        <w:widowControl w:val="1"/>
        <w:spacing w:lineRule="auto" w:after="0" w:line="36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jc w:val="center"/>
      </w:pPr>
      <w:r w:rsidRPr="00000000" w:rsidR="00000000" w:rsidDel="00000000">
        <w:rPr>
          <w:u w:val="single"/>
          <w:rtl w:val="0"/>
        </w:rPr>
        <w:t xml:space="preserve">Appendix 1: List of Nominations</w:t>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b w:val="1"/>
          <w:rtl w:val="0"/>
        </w:rPr>
        <w:t xml:space="preserve">NB: </w:t>
      </w:r>
      <w:r w:rsidRPr="00000000" w:rsidR="00000000" w:rsidDel="00000000">
        <w:rPr>
          <w:rtl w:val="0"/>
        </w:rPr>
        <w:t xml:space="preserve">there will be an option on the ballot sent to students to keep the current names for the rooms. Also, nominations will be taken from the floor at this meeting of AUS Legislative Council.</w:t>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tbl>
      <w:tblPr>
        <w:tblStyle w:val="Table1"/>
        <w:bidiVisual w:val="0"/>
        <w:tblW w:w="9280.0" w:type="dxa"/>
        <w:jc w:val="left"/>
        <w:tblBorders>
          <w:top w:color="cccccc" w:space="0" w:val="single" w:sz="6"/>
          <w:left w:color="cccccc" w:space="0" w:val="single" w:sz="6"/>
          <w:bottom w:color="cccccc" w:space="0" w:val="single" w:sz="6"/>
          <w:right w:color="cccccc" w:space="0" w:val="single" w:sz="6"/>
          <w:insideH w:color="cccccc" w:space="0" w:val="single" w:sz="6"/>
          <w:insideV w:color="cccccc" w:space="0" w:val="single" w:sz="6"/>
        </w:tblBorders>
        <w:tblLayout w:type="fixed"/>
        <w:tblLook w:val="0600"/>
      </w:tblPr>
      <w:tblGrid>
        <w:gridCol w:w="2085"/>
        <w:gridCol w:w="3095"/>
        <w:gridCol w:w="4100"/>
        <w:tblGridChange w:id="0">
          <w:tblGrid>
            <w:gridCol w:w="2085"/>
            <w:gridCol w:w="3095"/>
            <w:gridCol w:w="4100"/>
          </w:tblGrid>
        </w:tblGridChange>
      </w:tblGrid>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JD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Champagne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20"/>
                <w:u w:val="single"/>
                <w:rtl w:val="0"/>
              </w:rPr>
              <w:t xml:space="preserve">Not indicated</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Picasso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Stanley Kubrick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Samosa Room</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Hiawatha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Sam Higgs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Bpats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Avocado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Sweet Potato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Benjamin Paterson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Whirling McDervish St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Chris</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Christopher Manfredi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Den</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Cave</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Heather Monroe-Room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Oscar Peterson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Mordecai Richler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Justin Fletcher Room</w:t>
            </w: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Jack Layton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Michael Babcock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Tommy Wiseau Room</w:t>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18"/>
                <w:rtl w:val="0"/>
              </w:rPr>
              <w:t xml:space="preserve">The Giuseppe Garibaldi Room</w:t>
            </w: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Wilfred Laurier Room</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Godric's Hollow</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Chamber of Secrets</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Yik Yak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Room of Requirements</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The Michel Tremblay Room</w:t>
            </w:r>
          </w:p>
        </w:tc>
        <w:tc>
          <w:tcPr>
            <w:tcMar>
              <w:top w:w="40.0" w:type="dxa"/>
              <w:left w:w="40.0" w:type="dxa"/>
              <w:bottom w:w="40.0" w:type="dxa"/>
              <w:right w:w="40.0" w:type="dxa"/>
            </w:tcMar>
            <w:vAlign w:val="bottom"/>
          </w:tcPr>
          <w:p w:rsidP="00000000" w:rsidRPr="00000000" w:rsidR="00000000" w:rsidDel="00000000" w:rsidRDefault="00000000">
            <w:pPr>
              <w:spacing w:lineRule="auto" w:line="360"/>
              <w:contextualSpacing w:val="0"/>
            </w:pPr>
            <w:r w:rsidRPr="00000000" w:rsidR="00000000" w:rsidDel="00000000">
              <w:rPr>
                <w:rFonts w:cs="Arial" w:hAnsi="Arial" w:eastAsia="Arial" w:ascii="Arial"/>
                <w:sz w:val="20"/>
                <w:rtl w:val="0"/>
              </w:rPr>
              <w:t xml:space="preserve">AUS Boardroom</w:t>
            </w:r>
          </w:p>
        </w:tc>
        <w:tc>
          <w:tcPr>
            <w:tcMar>
              <w:top w:w="100.0" w:type="dxa"/>
              <w:left w:w="100.0" w:type="dxa"/>
              <w:bottom w:w="100.0" w:type="dxa"/>
              <w:right w:w="100.0" w:type="dxa"/>
            </w:tcMar>
          </w:tcPr>
          <w:p w:rsidP="00000000" w:rsidRPr="00000000" w:rsidR="00000000" w:rsidDel="00000000" w:rsidRDefault="00000000">
            <w:pPr>
              <w:spacing w:lineRule="auto" w:line="360"/>
              <w:contextualSpacing w:val="0"/>
            </w:pPr>
            <w:r w:rsidRPr="00000000" w:rsidR="00000000" w:rsidDel="00000000">
              <w:rPr>
                <w:rtl w:val="0"/>
              </w:rPr>
            </w:r>
          </w:p>
        </w:tc>
      </w:tr>
    </w:tbl>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u w:val="single"/>
          <w:rtl w:val="0"/>
        </w:rPr>
        <w:t xml:space="preserve">Appendix 2: Ballots for Shortlisting Nominations (to be distributed)</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Ballot Instructions:</w:t>
      </w:r>
    </w:p>
    <w:p w:rsidP="00000000" w:rsidRPr="00000000" w:rsidR="00000000" w:rsidDel="00000000" w:rsidRDefault="00000000">
      <w:pPr>
        <w:spacing w:lineRule="auto" w:line="360"/>
        <w:contextualSpacing w:val="0"/>
      </w:pPr>
      <w:r w:rsidRPr="00000000" w:rsidR="00000000" w:rsidDel="00000000">
        <w:rPr>
          <w:rtl w:val="0"/>
        </w:rPr>
        <w:t xml:space="preserve">Pick 5 names for each room, </w:t>
      </w:r>
      <w:r w:rsidRPr="00000000" w:rsidR="00000000" w:rsidDel="00000000">
        <w:rPr>
          <w:b w:val="1"/>
          <w:rtl w:val="0"/>
        </w:rPr>
        <w:t xml:space="preserve">from any of the columns above.</w:t>
      </w:r>
      <w:r w:rsidRPr="00000000" w:rsidR="00000000" w:rsidDel="00000000">
        <w:rPr>
          <w:rtl w:val="0"/>
        </w:rPr>
        <w:t xml:space="preserve"> The 5 nominations for each room which receive the most votes will be included on the ballot sent out to students for final voting. Please give consideration to the AUS Equity Policy when voting. Also please note that there will be an option on the ballot sent to students to keep the current names for the rooms, so it is not necessary to nominate them for the shortlist. Voting results will be communicated as soon as they are tabulated.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tbl>
      <w:tblPr>
        <w:tblStyle w:val="Table2"/>
        <w:bidiVisual w:val="0"/>
        <w:tblW w:w="964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24"/>
        <w:gridCol w:w="4824"/>
        <w:tblGridChange w:id="0">
          <w:tblGrid>
            <w:gridCol w:w="4824"/>
            <w:gridCol w:w="4824"/>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u w:val="single"/>
                <w:rtl w:val="0"/>
              </w:rPr>
              <w:t xml:space="preserve">Jack Daniels Room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u w:val="single"/>
                <w:rtl w:val="0"/>
              </w:rPr>
              <w:t xml:space="preserve">Champagne Room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1"/>
        <w:spacing w:lineRule="auto" w:after="0" w:line="360" w:before="0"/>
        <w:ind w:right="0"/>
        <w:contextualSpacing w:val="0"/>
      </w:pPr>
      <w:r w:rsidRPr="00000000" w:rsidR="00000000" w:rsidDel="00000000">
        <w:rPr>
          <w:rtl w:val="0"/>
        </w:rPr>
      </w:r>
    </w:p>
    <w:sectPr>
      <w:headerReference r:id="rId5" w:type="default"/>
      <w:pgSz w:w="12240" w:h="15840"/>
      <w:pgMar w:left="1296" w:right="1296" w:top="1800"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-342899</wp:posOffset>
          </wp:positionH>
          <wp:positionV relativeFrom="paragraph">
            <wp:posOffset>85725</wp:posOffset>
          </wp:positionV>
          <wp:extent cy="571500" cx="1485900"/>
          <wp:effectExtent t="0" b="0" r="0" l="0"/>
          <wp:wrapNone/>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571500" cx="1485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4787900</wp:posOffset>
          </wp:positionH>
          <wp:positionV relativeFrom="paragraph">
            <wp:posOffset>101600</wp:posOffset>
          </wp:positionV>
          <wp:extent cy="457200" cx="1257300"/>
          <wp:effectExtent t="0" b="0" r="0" l="0"/>
          <wp:wrapNone/>
          <wp:docPr id="2" name="image04.png"/>
          <a:graphic>
            <a:graphicData uri="http://schemas.openxmlformats.org/drawingml/2006/picture">
              <pic:pic>
                <pic:nvPicPr>
                  <pic:cNvPr id="0" name="image04.png"/>
                  <pic:cNvPicPr preferRelativeResize="0"/>
                </pic:nvPicPr>
                <pic:blipFill>
                  <a:blip r:embed="rId2"/>
                  <a:srcRect/>
                  <a:stretch>
                    <a:fillRect/>
                  </a:stretch>
                </pic:blipFill>
                <pic:spPr>
                  <a:xfrm>
                    <a:off y="0" x="0"/>
                    <a:ext cy="457200" cx="1257300"/>
                  </a:xfrm>
                  <a:prstGeom prst="rect"/>
                  <a:ln/>
                </pic:spPr>
              </pic:pic>
            </a:graphicData>
          </a:graphic>
        </wp:anchor>
      </w:drawing>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1244600</wp:posOffset>
          </wp:positionH>
          <wp:positionV relativeFrom="paragraph">
            <wp:posOffset>-88899</wp:posOffset>
          </wp:positionV>
          <wp:extent cy="571500" cx="2743200"/>
          <wp:effectExtent t="0" b="0" r="0" l="0"/>
          <wp:wrapNone/>
          <wp:docPr id="4" name="image07.png"/>
          <a:graphic>
            <a:graphicData uri="http://schemas.openxmlformats.org/drawingml/2006/picture">
              <pic:pic>
                <pic:nvPicPr>
                  <pic:cNvPr id="0" name="image07.png"/>
                  <pic:cNvPicPr preferRelativeResize="0"/>
                </pic:nvPicPr>
                <pic:blipFill>
                  <a:blip r:embed="rId3"/>
                  <a:srcRect/>
                  <a:stretch>
                    <a:fillRect/>
                  </a:stretch>
                </pic:blipFill>
                <pic:spPr>
                  <a:xfrm>
                    <a:off y="0" x="0"/>
                    <a:ext cy="571500" cx="2743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-114299</wp:posOffset>
          </wp:positionH>
          <wp:positionV relativeFrom="paragraph">
            <wp:posOffset>469900</wp:posOffset>
          </wp:positionV>
          <wp:extent cy="12700" cx="6172200"/>
          <wp:effectExtent t="0" b="0" r="0" l="0"/>
          <wp:wrapNone/>
          <wp:docPr id="3" name="image05.png"/>
          <a:graphic>
            <a:graphicData uri="http://schemas.openxmlformats.org/drawingml/2006/picture">
              <pic:pic>
                <pic:nvPicPr>
                  <pic:cNvPr id="0" name="image05.png"/>
                  <pic:cNvPicPr preferRelativeResize="0"/>
                </pic:nvPicPr>
                <pic:blipFill>
                  <a:blip r:embed="rId4"/>
                  <a:srcRect/>
                  <a:stretch>
                    <a:fillRect/>
                  </a:stretch>
                </pic:blipFill>
                <pic:spPr>
                  <a:xfrm>
                    <a:off y="0" x="0"/>
                    <a:ext cy="12700" cx="6172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4.png" Type="http://schemas.openxmlformats.org/officeDocument/2006/relationships/image" Id="rId2"/><Relationship Target="media/image01.png" Type="http://schemas.openxmlformats.org/officeDocument/2006/relationships/image" Id="rId1"/><Relationship Target="media/image05.png" Type="http://schemas.openxmlformats.org/officeDocument/2006/relationships/image" Id="rId4"/><Relationship Target="media/image07.pn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Vote on Shortlist for Room Renaming (Revised).docx</dc:title>
</cp:coreProperties>
</file>