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Motion to Approve Further AUS Stipended Positions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Article 9.3 of the AUS Financial Bylaws states that,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9.3 Stipends may be offered for positions that are vital to the operation of the AUS, require special expertise, for positions where there is a heavy work burden, or for positions which no volunteers may be found.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Article 9.4 of the AUS Financial Bylaws states that,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9.4 Council must ratify the appointment of any person to a stipended position.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providing employment is a service to McGill students,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application and interview processes occurred for the following positions,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 it resolved</w:t>
      </w:r>
      <w:r w:rsidDel="00000000" w:rsidR="00000000" w:rsidRPr="00000000">
        <w:rPr>
          <w:rFonts w:ascii="Arial" w:cs="Arial" w:eastAsia="Arial" w:hAnsi="Arial"/>
          <w:rtl w:val="0"/>
        </w:rPr>
        <w:t xml:space="preserve">, that AUS Legislative Council ratify the appointments listed in Appendix 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Motion submitted by: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Jacob Greenspon, AUS 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Gabriel Gilling, AUS VP Academic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Christine Koppenaal, AUS VP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Elaine Patterson, AUS VP Communications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Appendix A: AUS Stipended Positions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Portfolio: President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Nida Nizam, Secondary Speaker and Trainer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Portfolio: VP Academic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Sarah Kemp, Essay Centre Coordinator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Isabella Shraiman, Essay Centre Coordinator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Portfolio: VP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Johanna Nikoletos,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Benjamin Sheers,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Aleksandra Djurdjevic,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Minaal Jhaver,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Kyle Feehan,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Daniel Rozenblum,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Liam Carson,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Stephanie Claxton,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Kevan Harris,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Daniel Chetner,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Nathalie Breitschwerdt,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Marion Luiz,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Katya Svikhnushin, Frosh Coordinator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Portfolio: VP Communications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Pierre Dumoulin, Summer Translator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Justine Tupe, Media Team Member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Jennifer Yujing Shi, Media Team Member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Johanna Cottin, Media Team Member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Yoav Jacob Hougui, Media Team Member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Jules Tomi, Media Team Member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Max Drabkin, Media Team Member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296" w:top="1800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Fax: (514) 398-4431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www.ausmcgill.com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771525</wp:posOffset>
              </wp:positionH>
              <wp:positionV relativeFrom="paragraph">
                <wp:posOffset>-66674</wp:posOffset>
              </wp:positionV>
              <wp:extent cx="2743200" cy="5715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74400" y="3494250"/>
                        <a:ext cx="274319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855 Sherbrooke Street West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Montreal, Quebec H3A 2T7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771525</wp:posOffset>
              </wp:positionH>
              <wp:positionV relativeFrom="paragraph">
                <wp:posOffset>-66674</wp:posOffset>
              </wp:positionV>
              <wp:extent cx="2743200" cy="571500"/>
              <wp:effectExtent b="0" l="0" r="0" t="0"/>
              <wp:wrapNone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-714374</wp:posOffset>
          </wp:positionH>
          <wp:positionV relativeFrom="paragraph">
            <wp:posOffset>-66674</wp:posOffset>
          </wp:positionV>
          <wp:extent cx="1485900" cy="5715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-342899</wp:posOffset>
              </wp:positionH>
              <wp:positionV relativeFrom="paragraph">
                <wp:posOffset>466725</wp:posOffset>
              </wp:positionV>
              <wp:extent cx="61722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199" cy="0"/>
                      </a:xfrm>
                      <a:prstGeom prst="straightConnector1">
                        <a:avLst/>
                      </a:prstGeom>
                      <a:noFill/>
                      <a:ln cap="rnd" cmpd="sng" w="9525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-342899</wp:posOffset>
              </wp:positionH>
              <wp:positionV relativeFrom="paragraph">
                <wp:posOffset>466725</wp:posOffset>
              </wp:positionV>
              <wp:extent cx="6172200" cy="127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Relationship Id="rId2" Type="http://schemas.openxmlformats.org/officeDocument/2006/relationships/image" Target="media/image01.png"/></Relationships>
</file>