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Motion to Approve Ad-Hoc Allocations from the Arts Student Employment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rtl w:val="0"/>
        </w:rPr>
        <w:t xml:space="preserve">prior to FY 17, professors have received $5,000 in their start-up fund from the Arts Student Employment Fund to hire undergraduate research assistants;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4"/>
          <w:szCs w:val="24"/>
          <w:rtl w:val="0"/>
        </w:rPr>
        <w:t xml:space="preserve">the Faculty of Arts has begun reclaiming funds from professors whose three years of funding has expired;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Whereas,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any funds not approved here will be moved to the undesignated fund to be allocated by the Arts Student Employment Fund Committee in February;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Whereas,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Faculty of Arts has indicated that all of the positions are valid and would not be spent on any non-outlined purpose;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Whereas,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recommended allocations in Appendix B are recommended on the basis of them having a very clear research focus;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Whereas,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any professors rejected at this time will still be eligible to apply for ASEF funding in February;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 It Resolved,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that the Arts Undergraduate Society approves all positions listed in Appendix B for funding of their requested amount until September 1st,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Moved by: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Erik Partridge, Vice-President Academic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Isabella Anderson, Arts Rep to SSMU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02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340"/>
      </w:tabs>
      <w:spacing w:after="0" w:before="720" w:line="240" w:lineRule="auto"/>
      <w:contextualSpacing w:val="0"/>
    </w:pPr>
    <w:r w:rsidDel="00000000" w:rsidR="00000000" w:rsidRPr="00000000">
      <mc:AlternateContent>
        <mc:Choice Requires="wpg">
          <w:drawing>
            <wp:inline distB="152400" distT="152400" distL="152400" distR="152400">
              <wp:extent cx="2743200" cy="571500"/>
              <wp:effectExtent b="0" l="0" r="0" t="0"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74400" y="3494250"/>
                        <a:ext cx="274319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Arts Undergraduate Society of McGill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855 Sherbrooke Street West	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Leacock B-12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Montreal, Quebec  H3A 2T7</w:t>
                          </w:r>
                        </w:p>
                      </w:txbxContent>
                    </wps:txbx>
                    <wps:bodyPr anchorCtr="0" anchor="t" bIns="45700" lIns="45700" rIns="45700" tIns="45700"/>
                  </wps:wsp>
                </a:graphicData>
              </a:graphic>
            </wp:inline>
          </w:drawing>
        </mc:Choice>
        <mc:Fallback>
          <w:drawing>
            <wp:inline distB="152400" distT="152400" distL="152400" distR="152400">
              <wp:extent cx="2743200" cy="571500"/>
              <wp:effectExtent b="0" l="0" r="0" t="0"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571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mc:AlternateContent>
        <mc:Choice Requires="wpg">
          <w:drawing>
            <wp:inline distB="152400" distT="152400" distL="152400" distR="152400">
              <wp:extent cx="2286000" cy="57150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49425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Tel: (514) 398-1993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Fax: (514) 398-4431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http://www.ausmcgill.com</w:t>
                          </w:r>
                        </w:p>
                      </w:txbxContent>
                    </wps:txbx>
                    <wps:bodyPr anchorCtr="0" anchor="t" bIns="45700" lIns="45700" rIns="45700" tIns="45700"/>
                  </wps:wsp>
                </a:graphicData>
              </a:graphic>
            </wp:inline>
          </w:drawing>
        </mc:Choice>
        <mc:Fallback>
          <w:drawing>
            <wp:inline distB="152400" distT="152400" distL="152400" distR="152400">
              <wp:extent cx="2286000" cy="571500"/>
              <wp:effectExtent b="0" l="0" r="0" t="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571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drawing>
        <wp:inline distB="152400" distT="152400" distL="152400" distR="152400">
          <wp:extent cx="1489712" cy="5715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9712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mc:AlternateContent>
        <mc:Choice Requires="wpg">
          <w:drawing>
            <wp:inline distB="152400" distT="152400" distL="152400" distR="152400">
              <wp:extent cx="5715000" cy="12700"/>
              <wp:effectExtent b="0" l="0" r="0" t="0"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499" y="3780000"/>
                        <a:ext cx="5715002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inline>
          </w:drawing>
        </mc:Choice>
        <mc:Fallback>
          <w:drawing>
            <wp:inline distB="152400" distT="152400" distL="152400" distR="152400">
              <wp:extent cx="5715000" cy="12700"/>
              <wp:effectExtent b="0" l="0" r="0" t="0"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Relationship Id="rId2" Type="http://schemas.openxmlformats.org/officeDocument/2006/relationships/image" Target="media/image03.png"/><Relationship Id="rId3" Type="http://schemas.openxmlformats.org/officeDocument/2006/relationships/image" Target="media/image01.png"/><Relationship Id="rId4" Type="http://schemas.openxmlformats.org/officeDocument/2006/relationships/image" Target="media/image07.png"/></Relationships>
</file>