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to Approve ASEFC Membership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Arts Student Employment Fund Committee meets annually to allocate funding for research and other academically advancing positions across campus;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Article III of the ASEF by-laws requires the two appointed members of the ASEFC to be confirmed by majority vote of the AUS Legislative Council;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Dean of Arts, the Vice-President Academic of the AUS, and the Vice-President Finance of the AUS are mandated to sit on the committee;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Whereas,</w:t>
      </w:r>
      <w:r w:rsidDel="00000000" w:rsidR="00000000" w:rsidRPr="00000000">
        <w:rPr>
          <w:rFonts w:ascii="Arial" w:cs="Arial" w:eastAsia="Arial" w:hAnsi="Arial"/>
          <w:rtl w:val="0"/>
        </w:rPr>
        <w:t xml:space="preserve"> one AUS Councillor and one at-large member must sit on the committee;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 it resolved</w:t>
      </w:r>
      <w:r w:rsidDel="00000000" w:rsidR="00000000" w:rsidRPr="00000000">
        <w:rPr>
          <w:rFonts w:ascii="Arial" w:cs="Arial" w:eastAsia="Arial" w:hAnsi="Arial"/>
          <w:rtl w:val="0"/>
        </w:rPr>
        <w:t xml:space="preserve">, that AUS Legislative Council confirm the following appointments to the 2016-17 Arts Student Employment Fund Committee: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Hayley Ostrega, SLUM VP Academic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Will Cleveland, Arts Senator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submitted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Will Cleveland, Arts Senator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296" w:top="1800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Fax: (514) 398-4431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-91439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74400" y="3494250"/>
                        <a:ext cx="27431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855 Sherbrooke Street West	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199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7.png"/><Relationship Id="rId2" Type="http://schemas.openxmlformats.org/officeDocument/2006/relationships/image" Target="media/image01.png"/><Relationship Id="rId3" Type="http://schemas.openxmlformats.org/officeDocument/2006/relationships/image" Target="media/image03.png"/><Relationship Id="rId4" Type="http://schemas.openxmlformats.org/officeDocument/2006/relationships/image" Target="media/image05.png"/></Relationships>
</file>