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DRAFT: Faculty of Arts Student Assessment Policy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 drafted by the Arts Undergraduate Society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 all comments, questions or concerns, contact Erik Partridge, AUS VP Academic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in-class assessments exceeding 15% of the final mark shall be held in the last fourteen calendar days of class, except in language courses.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Participation, which shall include attendance, unannounced assessments, and clicker based assessments, in both lectures and conference, shall not exceed 10% of the final mark, except in courses where the total enrollment is less than forty-one students.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shall not be penalized for any reason for which they cannot also gain marks.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Automatic failure of a course shall not be predicated on any non-marked criteria. The reason for automatic failure shall make up at least 20% of the final mark in accordance with Section 3.1.7 of the University Student Assessment Policy.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Assignments shall not be marked using a zero-sum marking scheme.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Assignments may not be due, and assessments may not be conducted during the course change period.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accordance with section 3.7 of the University Student Assessment Policy, and Article 14(b) of the Charter of Student Rights, students have a right to a re-assessment of any written assessment, which shall include multiple choice assessments, subject to the following conditions: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shall have 14 days to request a re-assessment of an assignment.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re-assessment process shall be deemed to have started upon the student’s delivery of communications relating to the mark of the assessment to any party involved.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shall first communicate the rationale to the professor.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student finds the timely response unsatisfactory, the student may submit a request for formal re-assessment to a previously designated member of the department.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designated member, who shall be by default the chair of the department, will then assign a professor, who is not teaching or proctoring the course, but is experienced in the subject material to re-evaluate the original work. The third party shall not be privy to the comments or mark of the work by the initial assessor.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re-assessment by third-party should take no more than 20 business days to complete.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