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Motion to Amend the Allocations by the Arts Student Employment Fund Committee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Arts Student Employment Fund is used to fund both work-study and research &amp; academically advancing positions on campus;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Arts Student Employment Fund Committee had $57,003.14 to allocate this meeting;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Whereas, </w:t>
      </w:r>
      <w:r w:rsidDel="00000000" w:rsidR="00000000" w:rsidRPr="00000000">
        <w:rPr>
          <w:rFonts w:ascii="Arial" w:cs="Arial" w:eastAsia="Arial" w:hAnsi="Arial"/>
          <w:rtl w:val="0"/>
        </w:rPr>
        <w:t xml:space="preserve">the Arts Student Employment Fund Committee traditionally keeps a rollover balance of ~$1,000 each year;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decisions of the Arts Student Employment Fund Committee must be ratified by a majority vote of AUS Legislative Council;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Whereas</w:t>
      </w:r>
      <w:r w:rsidDel="00000000" w:rsidR="00000000" w:rsidRPr="00000000">
        <w:rPr>
          <w:rFonts w:ascii="Arial" w:cs="Arial" w:eastAsia="Arial" w:hAnsi="Arial"/>
          <w:rtl w:val="0"/>
        </w:rPr>
        <w:t xml:space="preserve">, the allocations are attached in the spreadsheet ASEF Decisions;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Be it resolved</w:t>
      </w:r>
      <w:r w:rsidDel="00000000" w:rsidR="00000000" w:rsidRPr="00000000">
        <w:rPr>
          <w:rFonts w:ascii="Arial" w:cs="Arial" w:eastAsia="Arial" w:hAnsi="Arial"/>
          <w:rtl w:val="0"/>
        </w:rPr>
        <w:t xml:space="preserve">, that the AUS Legislative Council ratify the allocations by the Arts Student Employment Fund Committee;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Motion submitted by: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Erik Partridge, AUS VP Academic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William Cleveland, Arts Senator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296" w:top="1800" w:left="1296" w:right="129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Tel: (514) 398-1993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Fax: (514) 398-4431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b="0" l="0" r="0" t="0"/>
              <wp:wrapNone/>
              <wp:docPr id="4" name="image07.png"/>
              <a:graphic>
                <a:graphicData uri="http://schemas.openxmlformats.org/drawingml/2006/picture">
                  <pic:pic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-91439</wp:posOffset>
          </wp:positionV>
          <wp:extent cx="1485900" cy="571500"/>
          <wp:effectExtent b="0" l="0" r="0" t="0"/>
          <wp:wrapNone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-88899</wp:posOffset>
              </wp:positionV>
              <wp:extent cx="2743200" cy="5715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974400" y="3494250"/>
                        <a:ext cx="2743199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Arts Undergraduate Society of McGill University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855 Sherbrooke Street West		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Leacock B-12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  <w:t xml:space="preserve">Montreal, Quebec H3A 2T7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7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1244600</wp:posOffset>
              </wp:positionH>
              <wp:positionV relativeFrom="paragraph">
                <wp:posOffset>-88899</wp:posOffset>
              </wp:positionV>
              <wp:extent cx="2743200" cy="571500"/>
              <wp:effectExtent b="0" l="0" r="0" t="0"/>
              <wp:wrapNone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3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469900</wp:posOffset>
              </wp:positionV>
              <wp:extent cx="61722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59900" y="3780000"/>
                        <a:ext cx="6172199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rIns="91425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-114299</wp:posOffset>
              </wp:positionH>
              <wp:positionV relativeFrom="paragraph">
                <wp:posOffset>469900</wp:posOffset>
              </wp:positionV>
              <wp:extent cx="6172200" cy="12700"/>
              <wp:effectExtent b="0" l="0" r="0" t="0"/>
              <wp:wrapNone/>
              <wp:docPr id="3" name="image05.png"/>
              <a:graphic>
                <a:graphicData uri="http://schemas.openxmlformats.org/drawingml/2006/picture">
                  <pic:pic>
                    <pic:nvPicPr>
                      <pic:cNvPr id="0" name="image0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7.png"/><Relationship Id="rId2" Type="http://schemas.openxmlformats.org/officeDocument/2006/relationships/image" Target="media/image01.png"/><Relationship Id="rId3" Type="http://schemas.openxmlformats.org/officeDocument/2006/relationships/image" Target="media/image03.png"/><Relationship Id="rId4" Type="http://schemas.openxmlformats.org/officeDocument/2006/relationships/image" Target="media/image05.png"/></Relationships>
</file>