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Motion to Amend the Arts Student Employment Fund By-Laws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Arts Student Employment Fund is used to fund both work-study and research &amp; academically advancing positions on campus;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Arts Student Employment Fund had been losing $20,000-$30,000 per year for several years;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Whereas,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Arts Faculty Employment Fund is used to fund all ASEF-funded positions not covered by the AUS work-study program;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attached changes impact only the Arts Faculty Employment Fund;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attached changes are the result of 11 months of negotiations with the Faculty of Arts administration;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changes would remove the grant of research funding granted to new professors and would instead grant greater student control and oversight through the Arts Student Employment Fund Committee;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Whereas,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proposed amendments have not been changed in regards to meaning since they were brought to Council for consideration last month;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 it resolved</w:t>
      </w:r>
      <w:r w:rsidDel="00000000" w:rsidR="00000000" w:rsidRPr="00000000">
        <w:rPr>
          <w:rFonts w:ascii="Arial" w:cs="Arial" w:eastAsia="Arial" w:hAnsi="Arial"/>
          <w:rtl w:val="0"/>
        </w:rPr>
        <w:t xml:space="preserve">, that the AUS Legislative Council approve the changes in Appendix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submitted 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Deepak Punjabi, AUS VP Finance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00" w:left="1296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-91439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855 Sherbrooke Street West	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png"/><Relationship Id="rId2" Type="http://schemas.openxmlformats.org/officeDocument/2006/relationships/image" Target="media/image01.png"/><Relationship Id="rId3" Type="http://schemas.openxmlformats.org/officeDocument/2006/relationships/image" Target="media/image03.png"/><Relationship Id="rId4" Type="http://schemas.openxmlformats.org/officeDocument/2006/relationships/image" Target="media/image05.png"/></Relationships>
</file>