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Report of the AUS VP Academic - February 22nd,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Faculty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Curriculum Committee met Monday, was unable to attend due to class/midterm.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Rights</w:t>
      </w:r>
    </w:p>
    <w:p w:rsidR="00000000" w:rsidDel="00000000" w:rsidP="00000000" w:rsidRDefault="00000000" w:rsidRPr="00000000">
      <w:pPr>
        <w:contextualSpacing w:val="0"/>
      </w:pPr>
      <w:r w:rsidDel="00000000" w:rsidR="00000000" w:rsidRPr="00000000">
        <w:rPr>
          <w:rtl w:val="0"/>
        </w:rPr>
        <w:t xml:space="preserve">So far, only two student rights grievances this semester! Will probably pick up in March.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Publications</w:t>
      </w:r>
    </w:p>
    <w:p w:rsidR="00000000" w:rsidDel="00000000" w:rsidP="00000000" w:rsidRDefault="00000000" w:rsidRPr="00000000">
      <w:pPr>
        <w:contextualSpacing w:val="0"/>
      </w:pPr>
      <w:r w:rsidDel="00000000" w:rsidR="00000000" w:rsidRPr="00000000">
        <w:rPr>
          <w:rtl w:val="0"/>
        </w:rPr>
        <w:t xml:space="preserve">Working on negotiating an MoA with the Library with regards to digitizing and uploading past journals, there are some concerns about the AUS taking on liability.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LPC</w:t>
      </w:r>
    </w:p>
    <w:p w:rsidR="00000000" w:rsidDel="00000000" w:rsidP="00000000" w:rsidRDefault="00000000" w:rsidRPr="00000000">
      <w:pPr>
        <w:contextualSpacing w:val="0"/>
      </w:pPr>
      <w:r w:rsidDel="00000000" w:rsidR="00000000" w:rsidRPr="00000000">
        <w:rPr>
          <w:rtl w:val="0"/>
        </w:rPr>
        <w:t xml:space="preserve">Application passed ASEF, but with a $5,000 deduction from Art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Essay Centre</w:t>
      </w:r>
    </w:p>
    <w:p w:rsidR="00000000" w:rsidDel="00000000" w:rsidP="00000000" w:rsidRDefault="00000000" w:rsidRPr="00000000">
      <w:pPr>
        <w:contextualSpacing w:val="0"/>
      </w:pPr>
      <w:r w:rsidDel="00000000" w:rsidR="00000000" w:rsidRPr="00000000">
        <w:rPr>
          <w:rtl w:val="0"/>
        </w:rPr>
        <w:t xml:space="preserve">Essay Centre is going very well this semester, if you or anyone you know is interested in volunteering for this semester, please don’t hesitate to drop me or them an email (aus.essay.centre@gmail.com).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Prof Talks</w:t>
      </w:r>
    </w:p>
    <w:p w:rsidR="00000000" w:rsidDel="00000000" w:rsidP="00000000" w:rsidRDefault="00000000" w:rsidRPr="00000000">
      <w:pPr>
        <w:contextualSpacing w:val="0"/>
      </w:pPr>
      <w:r w:rsidDel="00000000" w:rsidR="00000000" w:rsidRPr="00000000">
        <w:rPr>
          <w:rtl w:val="0"/>
        </w:rPr>
        <w:t xml:space="preserve">Be on the lookout for our awesome prof talk en fran</w:t>
      </w:r>
      <w:r w:rsidDel="00000000" w:rsidR="00000000" w:rsidRPr="00000000">
        <w:rPr>
          <w:color w:val="252525"/>
          <w:highlight w:val="white"/>
          <w:rtl w:val="0"/>
        </w:rPr>
        <w:t xml:space="preserve">çais on March 14th! Another end of March with a fascinating panel **topic to be released after the break**.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ASEF</w:t>
      </w:r>
    </w:p>
    <w:p w:rsidR="00000000" w:rsidDel="00000000" w:rsidP="00000000" w:rsidRDefault="00000000" w:rsidRPr="00000000">
      <w:pPr>
        <w:contextualSpacing w:val="0"/>
      </w:pPr>
      <w:r w:rsidDel="00000000" w:rsidR="00000000" w:rsidRPr="00000000">
        <w:rPr>
          <w:rtl w:val="0"/>
        </w:rPr>
        <w:t xml:space="preserve">ASEF met Tuesday, there’s a motion for Council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Teaching Awards &amp; Valedictorian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Teaching Awards Ceremony will be held towards the end of March, but we’re already collecting nominations! If your department has an awesome prof, TA, or advisor, please nominate them! Valedictorian applications are also open, please share with your department! These will be chosen by the same committee in March.  LAST COUNCIL BEFORE APPLICATIONS ARE DUE!!!!! </w:t>
      </w:r>
      <w:hyperlink r:id="rId5">
        <w:r w:rsidDel="00000000" w:rsidR="00000000" w:rsidRPr="00000000">
          <w:rPr>
            <w:color w:val="1155cc"/>
            <w:u w:val="single"/>
            <w:rtl w:val="0"/>
          </w:rPr>
          <w:t xml:space="preserve">https://ausmcgill.com/2017/01/nominate-prof-ta-advisor-aus-teaching-awards-2/</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https://ausmcgill.com/2017/01/apply-2017-valedictorian/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Respectfully submitted,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Erik Partridge, VP Academic</w:t>
      </w:r>
    </w:p>
    <w:sectPr>
      <w:headerReference r:id="rId7" w:type="default"/>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8"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83820</wp:posOffset>
          </wp:positionV>
          <wp:extent cx="1485900" cy="5715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1244600</wp:posOffset>
              </wp:positionH>
              <wp:positionV relativeFrom="paragraph">
                <wp:posOffset>-50799</wp:posOffset>
              </wp:positionV>
              <wp:extent cx="3479800" cy="762000"/>
              <wp:effectExtent b="0" l="0" r="0" t="0"/>
              <wp:wrapNone/>
              <wp:docPr id="2" name=""/>
              <a:graphic>
                <a:graphicData uri="http://schemas.microsoft.com/office/word/2010/wordprocessingShape">
                  <wps:wsp>
                    <wps:cNvSpPr/>
                    <wps:cNvPr id="2" name="Shape 2"/>
                    <wps:spPr>
                      <a:xfrm>
                        <a:off x="3604830" y="3403762"/>
                        <a:ext cx="3482339" cy="7524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1244600</wp:posOffset>
              </wp:positionH>
              <wp:positionV relativeFrom="paragraph">
                <wp:posOffset>-50799</wp:posOffset>
              </wp:positionV>
              <wp:extent cx="3479800" cy="762000"/>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3479800" cy="762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4787900</wp:posOffset>
              </wp:positionH>
              <wp:positionV relativeFrom="paragraph">
                <wp:posOffset>101600</wp:posOffset>
              </wp:positionV>
              <wp:extent cx="1257300" cy="457200"/>
              <wp:effectExtent b="0" l="0" r="0" t="0"/>
              <wp:wrapNone/>
              <wp:docPr id="3" name=""/>
              <a:graphic>
                <a:graphicData uri="http://schemas.microsoft.com/office/word/2010/wordprocessingShape">
                  <wps:wsp>
                    <wps:cNvSpPr/>
                    <wps:cNvPr id="3" name="Shape 3"/>
                    <wps:spPr>
                      <a:xfrm>
                        <a:off x="4717350" y="3551400"/>
                        <a:ext cx="1257299"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7"/>
                              <w:vertAlign w:val="baseline"/>
                            </w:rPr>
                          </w:r>
                          <w:r w:rsidDel="00000000" w:rsidR="00000000" w:rsidRPr="00000000">
                            <w:rPr>
                              <w:rFonts w:ascii="Calibri" w:cs="Calibri" w:eastAsia="Calibri" w:hAnsi="Calibri"/>
                              <w:b w:val="0"/>
                              <w:i w:val="0"/>
                              <w:smallCaps w:val="0"/>
                              <w:strike w:val="0"/>
                              <w:color w:val="000000"/>
                              <w:sz w:val="17"/>
                              <w:vertAlign w:val="baseline"/>
                            </w:rPr>
                            <w:t xml:space="preserve">www.ausmcgill.com </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4787900</wp:posOffset>
              </wp:positionH>
              <wp:positionV relativeFrom="paragraph">
                <wp:posOffset>101600</wp:posOffset>
              </wp:positionV>
              <wp:extent cx="1257300" cy="457200"/>
              <wp:effectExtent b="0" l="0" r="0" t="0"/>
              <wp:wrapNone/>
              <wp:docPr id="3" name="image05.png"/>
              <a:graphic>
                <a:graphicData uri="http://schemas.openxmlformats.org/drawingml/2006/picture">
                  <pic:pic>
                    <pic:nvPicPr>
                      <pic:cNvPr id="0" name="image05.png"/>
                      <pic:cNvPicPr preferRelativeResize="0"/>
                    </pic:nvPicPr>
                    <pic:blipFill>
                      <a:blip r:embed="rId3"/>
                      <a:srcRect/>
                      <a:stretch>
                        <a:fillRect/>
                      </a:stretch>
                    </pic:blipFill>
                    <pic:spPr>
                      <a:xfrm>
                        <a:off x="0" y="0"/>
                        <a:ext cx="1257300" cy="457200"/>
                      </a:xfrm>
                      <a:prstGeom prst="rect"/>
                      <a:ln/>
                    </pic:spPr>
                  </pic:pic>
                </a:graphicData>
              </a:graphic>
            </wp:anchor>
          </w:drawing>
        </mc:Fallback>
      </mc:AlternateConten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usmcgill.com/2017/01/nominate-prof-ta-advisor-aus-teaching-awards-2/" TargetMode="External"/><Relationship Id="rId6" Type="http://schemas.openxmlformats.org/officeDocument/2006/relationships/hyperlink" Target="https://ausmcgill.com/2017/01/apply-2017-valedictoria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 Id="rId3" Type="http://schemas.openxmlformats.org/officeDocument/2006/relationships/image" Target="media/image05.png"/></Relationships>
</file>