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Amend the Financial By-Laws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the FMC allocations have not been brought to Council for ratification in the past two years;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the FMC makes decisions every two weeks to make multiple decisions, having a motion to approve allocations at every Council is impractical;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situations in which cheques cannot be used for payment are not exceptional, and the credit card is used only in cases where expenditures have already been ratified;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Be it resolved</w:t>
      </w:r>
      <w:r w:rsidDel="00000000" w:rsidR="00000000" w:rsidRPr="00000000">
        <w:rPr>
          <w:rtl w:val="0"/>
        </w:rPr>
        <w:t xml:space="preserve">, that AUS Legislative Council approve the following amendments to the Financial By-Laws: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10.7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All decisions made by the FMC must be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highlight w:val="white"/>
          <w:rtl w:val="0"/>
        </w:rPr>
        <w:t xml:space="preserve">ratified by Council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reported to Council by the AUS Vice-President Finance at the first meeting following FMC’s decision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10.7.1.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The decisions made by FMC shall be deemed to be approved by Council unless Council explicitly rejects them by majority vote.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13.5.1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highlight w:val="white"/>
          <w:rtl w:val="0"/>
        </w:rPr>
        <w:t xml:space="preserve">Exceptional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use of the debit or credit card will be permitted for expenses where payments by cheque are not possible; these purchases must be approved by both the President, as well as the Vice-President Finance.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ind w:left="460" w:hanging="440"/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14.3 A copy of each month’s bank statement(s) must be submitted to the FMC for review within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highlight w:val="white"/>
          <w:rtl w:val="0"/>
        </w:rPr>
        <w:t xml:space="preserve">fourteen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thirty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days of receiving the statements.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Moved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Noah Lew, AUS VP Finance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Erik Partridge, AUS VP Academic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83820</wp:posOffset>
          </wp:positionV>
          <wp:extent cx="1485900" cy="5715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04830" y="3403762"/>
                        <a:ext cx="3482339" cy="752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Arts Undergraduate Society of McGill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855 Sherbrooke Street West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Leacock B-12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Montreal, Quebec H3A 2T7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98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Tel: (514) 398-1993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Relationship Id="rId3" Type="http://schemas.openxmlformats.org/officeDocument/2006/relationships/image" Target="media/image05.png"/></Relationships>
</file>