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Painting of the AUS Office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AUS is a stronger force for students if we are viewed as professional by McGill;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painting the office is best done in the summer, such that it does not impact operations;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painting the office can create student employment during the month of May;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AUS Office has approximately 825 sq ft of wall space;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AUS Legislative Council approve the expenditure of no more than $7,000 to repaint the AUS Office;</w:t>
      </w:r>
    </w:p>
    <w:p w:rsidR="00000000" w:rsidDel="00000000" w:rsidP="00000000" w:rsidRDefault="00000000" w:rsidRPr="00000000">
      <w:pPr>
        <w:pBdr/>
        <w:spacing w:line="288" w:lineRule="auto"/>
        <w:ind w:left="0" w:firstLine="0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Moved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Maria Thomas, Arts Representative to SSMU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855 Sherbrooke Street West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image" Target="media/image05.png"/></Relationships>
</file>