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to ratify FMC decisions for 11/04/2018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sz w:val="24"/>
          <w:szCs w:val="24"/>
          <w:rtl w:val="0"/>
        </w:rPr>
        <w:t xml:space="preserve">FMC decisions must be ratified by the AUS Legislative Council as per the amendment made to the financial bylaws earlier this year (Feb 7th);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sz w:val="24"/>
          <w:szCs w:val="24"/>
          <w:rtl w:val="0"/>
        </w:rPr>
        <w:t xml:space="preserve">the FMC has held its most recent meeting on Apr 4th 2018;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Whereas, </w:t>
      </w:r>
      <w:r w:rsidDel="00000000" w:rsidR="00000000" w:rsidRPr="00000000">
        <w:rPr>
          <w:sz w:val="24"/>
          <w:szCs w:val="24"/>
          <w:rtl w:val="0"/>
        </w:rPr>
        <w:t xml:space="preserve">the following decisions are to be formally considered recommendations by the FMC;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sz w:val="24"/>
          <w:szCs w:val="24"/>
          <w:rtl w:val="0"/>
        </w:rPr>
        <w:t xml:space="preserve">, that AUS Legislative Council move to ratify the following FMC recommendations as listed in appendix ( );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Moved by,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Shannon Timmins, FMC Representative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Kevin Zhou, Arts Rep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