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 to amend the FMC allocations for 11/04/2018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sz w:val="24"/>
          <w:szCs w:val="24"/>
          <w:rtl w:val="0"/>
        </w:rPr>
        <w:t xml:space="preserve">a two thirds vote of AUS Legislative Council can amend the FMC allocations;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sz w:val="24"/>
          <w:szCs w:val="24"/>
          <w:rtl w:val="0"/>
        </w:rPr>
        <w:t xml:space="preserve">the Supplementary Departmental Fund has an excess of $3099.62 that has not been allocated;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sz w:val="24"/>
          <w:szCs w:val="24"/>
          <w:rtl w:val="0"/>
        </w:rPr>
        <w:t xml:space="preserve">the Journal Fund and the Special Projects Fund can be increased to better serve the students in the Faculty of Arts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 it resolved</w:t>
      </w:r>
      <w:r w:rsidDel="00000000" w:rsidR="00000000" w:rsidRPr="00000000">
        <w:rPr>
          <w:sz w:val="24"/>
          <w:szCs w:val="24"/>
          <w:rtl w:val="0"/>
        </w:rPr>
        <w:t xml:space="preserve">, that AUS Legislative Council move to re-allocate $1500 from the Supplementary Departmental Fund to the Special Projects Fund, and $500 from the Supplementary Departmental Fund to the Journal Fund.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Moved by,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Shannon Timmins, FMC Representative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Kevin Zhou, Arts Rep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