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Helvetica Neue" w:cs="Helvetica Neue" w:eastAsia="Helvetica Neue" w:hAnsi="Helvetica Neue"/>
          <w:b w:val="1"/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2"/>
          <w:szCs w:val="42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b="0" l="0" r="0" t="0"/>
            <wp:wrapNone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52725" cy="5810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Arts Undergraduate Society of McGill University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855 Sherbrooke Street West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Leacock B-12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Montreal, Quebec  H3A 2T7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52725" cy="5810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95525" cy="5810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Tel: (514) 398-1993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Fax: (514) 398-4431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http://www.ausmcgill.com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95525" cy="581025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center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rtl w:val="0"/>
        </w:rPr>
        <w:t xml:space="preserve">AUS Report - Arts Representatives to SSMU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July 2018 </w:t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Ana Paula: </w:t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Hired special investigator</w:t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Equity commissioner training for frosh </w:t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Working on subsidised alternative reproductive health, amending Health &amp; Dental bylaws needed 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Andrew:</w:t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Getting up to speed on financial bylaws to be able to help Mia revise them</w:t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Reaching out to SSMU execs about their plans for the year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Garima: </w:t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Researching committees to join for upcoming year </w:t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Reached out to Tre &amp; Sophia to discuss plans for the year </w:t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Respectfully submitted,</w:t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Andrew Figueiredo, Garima Karia, Ana Paula Sanchez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bookmarkStart w:colFirst="0" w:colLast="0" w:name="_nxivc88270u2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3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