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Helvetica Neue" w:cs="Helvetica Neue" w:eastAsia="Helvetica Neue" w:hAnsi="Helvetica Neue"/>
          <w:b w:val="1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2"/>
          <w:szCs w:val="42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b="0" l="0" r="0" t="0"/>
            <wp:wrapNone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52725" cy="581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52725" cy="5810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95525" cy="5810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Tel: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95525" cy="581025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AUS Report - Arts Representatives to SSMU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June 2018 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Ana Paula: 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Sitting as student rep for hiring the special investigator on campus sexual violence with Dean of Student Life (Chris Buddle) and Dean of Equity (Angela Campbell) - reviewed applications, selected interview candidates for July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Drafting a motion to include discretionary spending in the Student Safety fee to be presented at the Fall GA 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Interviewed and hired the next Equity commissioners; Meera, Maheen, and Evren  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Compiling training material (recommended readings) for Equity commissioners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Andrew: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Reading motions submitted last year to get a feel for writing good motions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Read through the uploaded BoD minutes from last years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Brainstorming potential ideas for motions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Reaching out to execs to discuss their plans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Putting Tre in contact with the Wichita State University Student Government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Garima: </w:t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Continuing to familiarize myself with the process of drafting motions, writing by-laws/referenda questions/consultations in preparation for the year ahead. Looking into unpaid internships motion.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Respectfully submitted,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Andrew Figueiredo, Garima Karia, Ana Paula Sanchez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bookmarkStart w:colFirst="0" w:colLast="0" w:name="_nxivc88270u2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