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47F7" w:rsidRDefault="00505823">
      <w:pPr>
        <w:pStyle w:val="Normal1"/>
        <w:jc w:val="center"/>
        <w:rPr>
          <w:b/>
        </w:rPr>
      </w:pPr>
      <w:r>
        <w:rPr>
          <w:b/>
        </w:rPr>
        <w:t>Motion Regarding the Frosh Surplus</w:t>
      </w:r>
    </w:p>
    <w:p w:rsidR="000347F7" w:rsidRDefault="000347F7">
      <w:pPr>
        <w:pStyle w:val="Normal1"/>
      </w:pPr>
    </w:p>
    <w:p w:rsidR="000347F7" w:rsidRDefault="000347F7">
      <w:pPr>
        <w:pStyle w:val="Normal1"/>
      </w:pPr>
    </w:p>
    <w:p w:rsidR="000347F7" w:rsidRDefault="00505823">
      <w:pPr>
        <w:pStyle w:val="Normal1"/>
      </w:pPr>
      <w:r>
        <w:rPr>
          <w:i/>
        </w:rPr>
        <w:t xml:space="preserve">Whereas, </w:t>
      </w:r>
      <w:r>
        <w:t>frosh runs a surplus roughly every other year;</w:t>
      </w:r>
    </w:p>
    <w:p w:rsidR="000347F7" w:rsidRDefault="000347F7">
      <w:pPr>
        <w:pStyle w:val="Normal1"/>
      </w:pPr>
    </w:p>
    <w:p w:rsidR="000347F7" w:rsidRDefault="00505823">
      <w:pPr>
        <w:pStyle w:val="Normal1"/>
      </w:pPr>
      <w:r>
        <w:rPr>
          <w:i/>
        </w:rPr>
        <w:t xml:space="preserve">Whereas, </w:t>
      </w:r>
      <w:r>
        <w:t>the by-laws already direct the funds to event planning;</w:t>
      </w:r>
    </w:p>
    <w:p w:rsidR="000347F7" w:rsidRDefault="000347F7">
      <w:pPr>
        <w:pStyle w:val="Normal1"/>
      </w:pPr>
    </w:p>
    <w:p w:rsidR="000347F7" w:rsidRDefault="00505823">
      <w:pPr>
        <w:pStyle w:val="Normal1"/>
        <w:rPr>
          <w:i/>
        </w:rPr>
      </w:pPr>
      <w:r>
        <w:rPr>
          <w:i/>
        </w:rPr>
        <w:t>Whereas</w:t>
      </w:r>
      <w:r>
        <w:t xml:space="preserve">, </w:t>
      </w:r>
      <w:r w:rsidR="00E11C05">
        <w:t>there are many parts of the AUS and social portfolio that require large amounts of funding</w:t>
      </w:r>
      <w:r>
        <w:t>;</w:t>
      </w:r>
    </w:p>
    <w:p w:rsidR="000347F7" w:rsidRDefault="000347F7">
      <w:pPr>
        <w:pStyle w:val="Normal1"/>
      </w:pPr>
    </w:p>
    <w:p w:rsidR="000347F7" w:rsidRDefault="00505823">
      <w:pPr>
        <w:pStyle w:val="Normal1"/>
        <w:rPr>
          <w:i/>
        </w:rPr>
      </w:pPr>
      <w:r>
        <w:rPr>
          <w:i/>
        </w:rPr>
        <w:t>Whereas</w:t>
      </w:r>
      <w:r>
        <w:t>, such a surplus has never previously gone to FEARC;</w:t>
      </w:r>
    </w:p>
    <w:p w:rsidR="000347F7" w:rsidRDefault="000347F7">
      <w:pPr>
        <w:pStyle w:val="Normal1"/>
      </w:pPr>
    </w:p>
    <w:p w:rsidR="000347F7" w:rsidRDefault="00505823">
      <w:pPr>
        <w:pStyle w:val="Normal1"/>
        <w:rPr>
          <w:i/>
        </w:rPr>
      </w:pPr>
      <w:r>
        <w:rPr>
          <w:i/>
        </w:rPr>
        <w:t xml:space="preserve">Whereas, </w:t>
      </w:r>
      <w:r>
        <w:t>such a surplus can be used to provide events for the entire Faculty of Arts;</w:t>
      </w:r>
    </w:p>
    <w:p w:rsidR="000347F7" w:rsidRDefault="000347F7">
      <w:pPr>
        <w:pStyle w:val="Normal1"/>
      </w:pPr>
    </w:p>
    <w:p w:rsidR="000347F7" w:rsidRDefault="00505823">
      <w:pPr>
        <w:pStyle w:val="Normal1"/>
        <w:rPr>
          <w:i/>
        </w:rPr>
      </w:pPr>
      <w:r>
        <w:rPr>
          <w:i/>
        </w:rPr>
        <w:t>Whereas</w:t>
      </w:r>
      <w:r>
        <w:t xml:space="preserve">, such an allocation </w:t>
      </w:r>
      <w:r w:rsidR="00E11C05">
        <w:t>split between the AUS operating budget and the VP Social portfolio</w:t>
      </w:r>
      <w:r>
        <w:t xml:space="preserve"> would benefit the entire Faculty of Arts student body</w:t>
      </w:r>
      <w:proofErr w:type="gramStart"/>
      <w:r>
        <w:t>;</w:t>
      </w:r>
      <w:proofErr w:type="gramEnd"/>
    </w:p>
    <w:p w:rsidR="000347F7" w:rsidRDefault="000347F7">
      <w:pPr>
        <w:pStyle w:val="Normal1"/>
      </w:pPr>
    </w:p>
    <w:p w:rsidR="000347F7" w:rsidRDefault="00505823">
      <w:pPr>
        <w:pStyle w:val="Normal1"/>
      </w:pPr>
      <w:r>
        <w:rPr>
          <w:b/>
        </w:rPr>
        <w:t>Be it resolved</w:t>
      </w:r>
      <w:r>
        <w:t>, that the frosh by-laws be amended as follows:</w:t>
      </w:r>
    </w:p>
    <w:p w:rsidR="000347F7" w:rsidRDefault="000347F7">
      <w:pPr>
        <w:pStyle w:val="Normal1"/>
      </w:pPr>
    </w:p>
    <w:p w:rsidR="00E11C05" w:rsidRDefault="00505823" w:rsidP="00E11C05">
      <w:pPr>
        <w:pStyle w:val="Normal1"/>
        <w:rPr>
          <w:b/>
        </w:rPr>
      </w:pPr>
      <w:r>
        <w:rPr>
          <w:b/>
        </w:rPr>
        <w:t xml:space="preserve">FROM: </w:t>
      </w:r>
      <w:r>
        <w:t xml:space="preserve">7.2 </w:t>
      </w:r>
      <w:proofErr w:type="gramStart"/>
      <w:r w:rsidR="00E11C05">
        <w:t>If</w:t>
      </w:r>
      <w:proofErr w:type="gramEnd"/>
      <w:r w:rsidR="00E11C05">
        <w:t xml:space="preserve"> Frosh makes a surplus, upon confirmation of all expenses and revenues, the funds shall be allocated to </w:t>
      </w:r>
      <w:proofErr w:type="spellStart"/>
      <w:r w:rsidR="00E11C05">
        <w:t>EPiC</w:t>
      </w:r>
      <w:proofErr w:type="spellEnd"/>
      <w:r w:rsidR="00E11C05">
        <w:t>.</w:t>
      </w:r>
    </w:p>
    <w:p w:rsidR="000347F7" w:rsidRDefault="000347F7">
      <w:pPr>
        <w:pStyle w:val="Normal1"/>
      </w:pPr>
    </w:p>
    <w:p w:rsidR="000347F7" w:rsidRDefault="00505823">
      <w:pPr>
        <w:pStyle w:val="Normal1"/>
      </w:pPr>
      <w:r>
        <w:rPr>
          <w:b/>
        </w:rPr>
        <w:t xml:space="preserve">TO: </w:t>
      </w:r>
      <w:r>
        <w:t xml:space="preserve">7.2 </w:t>
      </w:r>
      <w:r w:rsidR="00E11C05">
        <w:t xml:space="preserve">If Frosh makes a surplus, upon confirmation of all expenses and revenues, up to </w:t>
      </w:r>
      <w:bookmarkStart w:id="0" w:name="_GoBack"/>
      <w:bookmarkEnd w:id="0"/>
      <w:r w:rsidR="00E11C05">
        <w:t xml:space="preserve">5000 dollars of surplus will be given to the VP Social portfolio and anything in excess 5000 dollars will return to the AUS operating budget and will distributed at the discretion of the VP Finance. </w:t>
      </w:r>
    </w:p>
    <w:p w:rsidR="00E11C05" w:rsidRDefault="00E11C05">
      <w:pPr>
        <w:pStyle w:val="Normal1"/>
        <w:rPr>
          <w:b/>
        </w:rPr>
      </w:pPr>
    </w:p>
    <w:p w:rsidR="000347F7" w:rsidRDefault="00505823">
      <w:pPr>
        <w:pStyle w:val="Normal1"/>
      </w:pPr>
      <w:r>
        <w:rPr>
          <w:b/>
        </w:rPr>
        <w:t>Moved By:</w:t>
      </w:r>
    </w:p>
    <w:p w:rsidR="000347F7" w:rsidRDefault="000347F7">
      <w:pPr>
        <w:pStyle w:val="Normal1"/>
      </w:pPr>
    </w:p>
    <w:p w:rsidR="000347F7" w:rsidRDefault="00E11C05">
      <w:pPr>
        <w:pStyle w:val="Normal1"/>
      </w:pPr>
      <w:r>
        <w:t>Mia Trana</w:t>
      </w:r>
      <w:r w:rsidR="00505823">
        <w:t>, VP Finance</w:t>
      </w:r>
    </w:p>
    <w:p w:rsidR="000347F7" w:rsidRDefault="00E11C05">
      <w:pPr>
        <w:pStyle w:val="Normal1"/>
      </w:pPr>
      <w:r>
        <w:t>Kim Yang</w:t>
      </w:r>
      <w:r w:rsidR="00505823">
        <w:t>, VP Social</w:t>
      </w:r>
    </w:p>
    <w:p w:rsidR="000347F7" w:rsidRDefault="000347F7">
      <w:pPr>
        <w:pStyle w:val="Normal1"/>
      </w:pPr>
    </w:p>
    <w:p w:rsidR="000347F7" w:rsidRDefault="000347F7">
      <w:pPr>
        <w:pStyle w:val="Normal1"/>
      </w:pPr>
    </w:p>
    <w:sectPr w:rsidR="000347F7">
      <w:headerReference w:type="default" r:id="rId7"/>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C3" w:rsidRDefault="00505823">
      <w:r>
        <w:separator/>
      </w:r>
    </w:p>
  </w:endnote>
  <w:endnote w:type="continuationSeparator" w:id="0">
    <w:p w:rsidR="00CB29C3" w:rsidRDefault="0050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C3" w:rsidRDefault="00505823">
      <w:r>
        <w:separator/>
      </w:r>
    </w:p>
  </w:footnote>
  <w:footnote w:type="continuationSeparator" w:id="0">
    <w:p w:rsidR="00CB29C3" w:rsidRDefault="0050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F7" w:rsidRDefault="00505823">
    <w:pPr>
      <w:pStyle w:val="Normal1"/>
      <w:tabs>
        <w:tab w:val="center" w:pos="4320"/>
        <w:tab w:val="right" w:pos="8640"/>
      </w:tabs>
      <w:spacing w:before="708"/>
    </w:pPr>
    <w:r>
      <w:rPr>
        <w:noProof/>
        <w:lang w:eastAsia="en-CA"/>
      </w:rPr>
      <w:drawing>
        <wp:anchor distT="0" distB="0" distL="114300" distR="114300" simplePos="0" relativeHeight="251658240" behindDoc="0" locked="0" layoutInCell="1" hidden="0" allowOverlap="1">
          <wp:simplePos x="0" y="0"/>
          <wp:positionH relativeFrom="margin">
            <wp:posOffset>-114297</wp:posOffset>
          </wp:positionH>
          <wp:positionV relativeFrom="paragraph">
            <wp:posOffset>83820</wp:posOffset>
          </wp:positionV>
          <wp:extent cx="1485900" cy="5715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900" cy="571500"/>
                  </a:xfrm>
                  <a:prstGeom prst="rect">
                    <a:avLst/>
                  </a:prstGeom>
                  <a:ln/>
                </pic:spPr>
              </pic:pic>
            </a:graphicData>
          </a:graphic>
        </wp:anchor>
      </w:drawing>
    </w:r>
    <w:r>
      <w:rPr>
        <w:noProof/>
        <w:lang w:eastAsia="en-CA"/>
      </w:rPr>
      <mc:AlternateContent>
        <mc:Choice Requires="wps">
          <w:drawing>
            <wp:anchor distT="0" distB="0" distL="114300" distR="114300" simplePos="0" relativeHeight="251659264" behindDoc="0" locked="0" layoutInCell="1" hidden="0" allowOverlap="1">
              <wp:simplePos x="0" y="0"/>
              <wp:positionH relativeFrom="margin">
                <wp:posOffset>1231900</wp:posOffset>
              </wp:positionH>
              <wp:positionV relativeFrom="paragraph">
                <wp:posOffset>-50799</wp:posOffset>
              </wp:positionV>
              <wp:extent cx="3479800" cy="762000"/>
              <wp:effectExtent l="0" t="0" r="0" b="0"/>
              <wp:wrapNone/>
              <wp:docPr id="3" name=""/>
              <wp:cNvGraphicFramePr/>
              <a:graphic xmlns:a="http://schemas.openxmlformats.org/drawingml/2006/main">
                <a:graphicData uri="http://schemas.microsoft.com/office/word/2010/wordprocessingShape">
                  <wps:wsp>
                    <wps:cNvSpPr/>
                    <wps:spPr>
                      <a:xfrm>
                        <a:off x="3604831" y="3403763"/>
                        <a:ext cx="3482339" cy="752473"/>
                      </a:xfrm>
                      <a:prstGeom prst="rect">
                        <a:avLst/>
                      </a:prstGeom>
                      <a:noFill/>
                      <a:ln>
                        <a:noFill/>
                      </a:ln>
                    </wps:spPr>
                    <wps:txbx>
                      <w:txbxContent>
                        <w:p w:rsidR="000347F7" w:rsidRDefault="00505823">
                          <w:pPr>
                            <w:pStyle w:val="Normal1"/>
                            <w:textDirection w:val="btLr"/>
                          </w:pPr>
                          <w:r>
                            <w:rPr>
                              <w:rFonts w:ascii="Calibri" w:eastAsia="Calibri" w:hAnsi="Calibri" w:cs="Calibri"/>
                              <w:b/>
                              <w:sz w:val="20"/>
                            </w:rPr>
                            <w:t>Arts Undergraduate Society of McGill University</w:t>
                          </w:r>
                        </w:p>
                        <w:p w:rsidR="000347F7" w:rsidRDefault="00505823">
                          <w:pPr>
                            <w:pStyle w:val="Normal1"/>
                            <w:textDirection w:val="btLr"/>
                          </w:pPr>
                          <w:r>
                            <w:rPr>
                              <w:rFonts w:ascii="Calibri" w:eastAsia="Calibri" w:hAnsi="Calibri" w:cs="Calibri"/>
                              <w:sz w:val="20"/>
                            </w:rPr>
                            <w:t xml:space="preserve">855 </w:t>
                          </w:r>
                          <w:proofErr w:type="spellStart"/>
                          <w:r>
                            <w:rPr>
                              <w:rFonts w:ascii="Calibri" w:eastAsia="Calibri" w:hAnsi="Calibri" w:cs="Calibri"/>
                              <w:sz w:val="20"/>
                            </w:rPr>
                            <w:t>Sherbrooke</w:t>
                          </w:r>
                          <w:proofErr w:type="spellEnd"/>
                          <w:r>
                            <w:rPr>
                              <w:rFonts w:ascii="Calibri" w:eastAsia="Calibri" w:hAnsi="Calibri" w:cs="Calibri"/>
                              <w:sz w:val="20"/>
                            </w:rPr>
                            <w:t xml:space="preserve"> Street West</w:t>
                          </w:r>
                          <w:r>
                            <w:rPr>
                              <w:rFonts w:ascii="Calibri" w:eastAsia="Calibri" w:hAnsi="Calibri" w:cs="Calibri"/>
                              <w:sz w:val="20"/>
                            </w:rPr>
                            <w:tab/>
                          </w:r>
                          <w:r>
                            <w:rPr>
                              <w:rFonts w:ascii="Calibri" w:eastAsia="Calibri" w:hAnsi="Calibri" w:cs="Calibri"/>
                              <w:sz w:val="20"/>
                            </w:rPr>
                            <w:tab/>
                          </w:r>
                        </w:p>
                        <w:p w:rsidR="000347F7" w:rsidRDefault="00505823">
                          <w:pPr>
                            <w:pStyle w:val="Normal1"/>
                            <w:textDirection w:val="btLr"/>
                          </w:pPr>
                          <w:r>
                            <w:rPr>
                              <w:rFonts w:ascii="Calibri" w:eastAsia="Calibri" w:hAnsi="Calibri" w:cs="Calibri"/>
                              <w:sz w:val="20"/>
                            </w:rPr>
                            <w:t>Leacock B-12</w:t>
                          </w:r>
                        </w:p>
                        <w:p w:rsidR="000347F7" w:rsidRDefault="00505823">
                          <w:pPr>
                            <w:pStyle w:val="Normal1"/>
                            <w:textDirection w:val="btLr"/>
                          </w:pPr>
                          <w:r>
                            <w:rPr>
                              <w:rFonts w:ascii="Calibri" w:eastAsia="Calibri" w:hAnsi="Calibri" w:cs="Calibri"/>
                              <w:sz w:val="20"/>
                            </w:rPr>
                            <w:t>Montreal, Quebec H3A 2T7</w:t>
                          </w:r>
                        </w:p>
                        <w:p w:rsidR="000347F7" w:rsidRDefault="000347F7">
                          <w:pPr>
                            <w:pStyle w:val="Normal1"/>
                            <w:textDirection w:val="btLr"/>
                          </w:pPr>
                        </w:p>
                      </w:txbxContent>
                    </wps:txbx>
                    <wps:bodyPr wrap="square" lIns="91425" tIns="45700" rIns="91425" bIns="45700" anchor="t" anchorCtr="0"/>
                  </wps:wsp>
                </a:graphicData>
              </a:graphic>
            </wp:anchor>
          </w:drawing>
        </mc:Choice>
        <mc:Fallback>
          <w:pict>
            <v:rect id="_x0000_s1026" style="position:absolute;margin-left:97pt;margin-top:-4pt;width:274pt;height:6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" filled="f" stroked="f">
              <v:textbox inset="2.53958mm,1.2694mm,2.53958mm,1.2694mm">
                <w:txbxContent>
                  <w:p w:rsidR="000347F7" w:rsidRDefault="00505823">
                    <w:pPr>
                      <w:pStyle w:val="Normal1"/>
                      <w:textDirection w:val="btLr"/>
                    </w:pPr>
                    <w:r>
                      <w:rPr>
                        <w:rFonts w:ascii="Calibri" w:eastAsia="Calibri" w:hAnsi="Calibri" w:cs="Calibri"/>
                        <w:b/>
                        <w:sz w:val="20"/>
                      </w:rPr>
                      <w:t>Arts Undergraduate Society of McGill University</w:t>
                    </w:r>
                  </w:p>
                  <w:p w:rsidR="000347F7" w:rsidRDefault="00505823">
                    <w:pPr>
                      <w:pStyle w:val="Normal1"/>
                      <w:textDirection w:val="btLr"/>
                    </w:pPr>
                    <w:r>
                      <w:rPr>
                        <w:rFonts w:ascii="Calibri" w:eastAsia="Calibri" w:hAnsi="Calibri" w:cs="Calibri"/>
                        <w:sz w:val="20"/>
                      </w:rPr>
                      <w:t xml:space="preserve">855 </w:t>
                    </w:r>
                    <w:proofErr w:type="spellStart"/>
                    <w:r>
                      <w:rPr>
                        <w:rFonts w:ascii="Calibri" w:eastAsia="Calibri" w:hAnsi="Calibri" w:cs="Calibri"/>
                        <w:sz w:val="20"/>
                      </w:rPr>
                      <w:t>Sherbrooke</w:t>
                    </w:r>
                    <w:proofErr w:type="spellEnd"/>
                    <w:r>
                      <w:rPr>
                        <w:rFonts w:ascii="Calibri" w:eastAsia="Calibri" w:hAnsi="Calibri" w:cs="Calibri"/>
                        <w:sz w:val="20"/>
                      </w:rPr>
                      <w:t xml:space="preserve"> Street West</w:t>
                    </w:r>
                    <w:r>
                      <w:rPr>
                        <w:rFonts w:ascii="Calibri" w:eastAsia="Calibri" w:hAnsi="Calibri" w:cs="Calibri"/>
                        <w:sz w:val="20"/>
                      </w:rPr>
                      <w:tab/>
                    </w:r>
                    <w:r>
                      <w:rPr>
                        <w:rFonts w:ascii="Calibri" w:eastAsia="Calibri" w:hAnsi="Calibri" w:cs="Calibri"/>
                        <w:sz w:val="20"/>
                      </w:rPr>
                      <w:tab/>
                    </w:r>
                  </w:p>
                  <w:p w:rsidR="000347F7" w:rsidRDefault="00505823">
                    <w:pPr>
                      <w:pStyle w:val="Normal1"/>
                      <w:textDirection w:val="btLr"/>
                    </w:pPr>
                    <w:r>
                      <w:rPr>
                        <w:rFonts w:ascii="Calibri" w:eastAsia="Calibri" w:hAnsi="Calibri" w:cs="Calibri"/>
                        <w:sz w:val="20"/>
                      </w:rPr>
                      <w:t>Leacock B-12</w:t>
                    </w:r>
                  </w:p>
                  <w:p w:rsidR="000347F7" w:rsidRDefault="00505823">
                    <w:pPr>
                      <w:pStyle w:val="Normal1"/>
                      <w:textDirection w:val="btLr"/>
                    </w:pPr>
                    <w:r>
                      <w:rPr>
                        <w:rFonts w:ascii="Calibri" w:eastAsia="Calibri" w:hAnsi="Calibri" w:cs="Calibri"/>
                        <w:sz w:val="20"/>
                      </w:rPr>
                      <w:t>Montreal, Quebec H3A 2T7</w:t>
                    </w:r>
                  </w:p>
                  <w:p w:rsidR="000347F7" w:rsidRDefault="000347F7">
                    <w:pPr>
                      <w:pStyle w:val="Normal1"/>
                      <w:textDirection w:val="btLr"/>
                    </w:pPr>
                  </w:p>
                </w:txbxContent>
              </v:textbox>
              <w10:wrap anchorx="margin"/>
            </v:rect>
          </w:pict>
        </mc:Fallback>
      </mc:AlternateContent>
    </w:r>
    <w:r>
      <w:rPr>
        <w:noProof/>
        <w:lang w:eastAsia="en-CA"/>
      </w:rPr>
      <mc:AlternateContent>
        <mc:Choice Requires="wps">
          <w:drawing>
            <wp:anchor distT="0" distB="0" distL="114300" distR="114300" simplePos="0" relativeHeight="251660288" behindDoc="0" locked="0" layoutInCell="1" hidden="0" allowOverlap="1">
              <wp:simplePos x="0" y="0"/>
              <wp:positionH relativeFrom="margin">
                <wp:posOffset>4775200</wp:posOffset>
              </wp:positionH>
              <wp:positionV relativeFrom="paragraph">
                <wp:posOffset>88900</wp:posOffset>
              </wp:positionV>
              <wp:extent cx="1257300" cy="457200"/>
              <wp:effectExtent l="0" t="0" r="0" b="0"/>
              <wp:wrapNone/>
              <wp:docPr id="2" name=""/>
              <wp:cNvGraphicFramePr/>
              <a:graphic xmlns:a="http://schemas.openxmlformats.org/drawingml/2006/main">
                <a:graphicData uri="http://schemas.microsoft.com/office/word/2010/wordprocessingShape">
                  <wps:wsp>
                    <wps:cNvSpPr/>
                    <wps:spPr>
                      <a:xfrm>
                        <a:off x="4717350" y="3551400"/>
                        <a:ext cx="1257298" cy="457200"/>
                      </a:xfrm>
                      <a:prstGeom prst="rect">
                        <a:avLst/>
                      </a:prstGeom>
                      <a:noFill/>
                      <a:ln>
                        <a:noFill/>
                      </a:ln>
                    </wps:spPr>
                    <wps:txbx>
                      <w:txbxContent>
                        <w:p w:rsidR="000347F7" w:rsidRDefault="00505823">
                          <w:pPr>
                            <w:pStyle w:val="Normal1"/>
                            <w:jc w:val="right"/>
                            <w:textDirection w:val="btLr"/>
                          </w:pPr>
                          <w:r>
                            <w:rPr>
                              <w:rFonts w:ascii="Calibri" w:eastAsia="Calibri" w:hAnsi="Calibri" w:cs="Calibri"/>
                              <w:sz w:val="17"/>
                            </w:rPr>
                            <w:t>Tel: (514) 398-1993</w:t>
                          </w:r>
                        </w:p>
                        <w:p w:rsidR="000347F7" w:rsidRDefault="00505823">
                          <w:pPr>
                            <w:pStyle w:val="Normal1"/>
                            <w:jc w:val="right"/>
                            <w:textDirection w:val="btLr"/>
                          </w:pPr>
                          <w:r>
                            <w:rPr>
                              <w:rFonts w:ascii="Calibri" w:eastAsia="Calibri" w:hAnsi="Calibri" w:cs="Calibri"/>
                              <w:sz w:val="17"/>
                            </w:rPr>
                            <w:t xml:space="preserve">www.ausmcgill.com </w:t>
                          </w:r>
                        </w:p>
                      </w:txbxContent>
                    </wps:txbx>
                    <wps:bodyPr wrap="square" lIns="91425" tIns="45700" rIns="91425" bIns="45700" anchor="t" anchorCtr="0"/>
                  </wps:wsp>
                </a:graphicData>
              </a:graphic>
            </wp:anchor>
          </w:drawing>
        </mc:Choice>
        <mc:Fallback>
          <w:pict>
            <v:rect id="_x0000_s1027" style="position:absolute;margin-left:376pt;margin-top:7pt;width:99pt;height:3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" filled="f" stroked="f">
              <v:textbox inset="2.53958mm,1.2694mm,2.53958mm,1.2694mm">
                <w:txbxContent>
                  <w:p w:rsidR="000347F7" w:rsidRDefault="00505823">
                    <w:pPr>
                      <w:pStyle w:val="Normal1"/>
                      <w:jc w:val="right"/>
                      <w:textDirection w:val="btLr"/>
                    </w:pPr>
                    <w:r>
                      <w:rPr>
                        <w:rFonts w:ascii="Calibri" w:eastAsia="Calibri" w:hAnsi="Calibri" w:cs="Calibri"/>
                        <w:sz w:val="17"/>
                      </w:rPr>
                      <w:t>Tel: (514) 398-1993</w:t>
                    </w:r>
                  </w:p>
                  <w:p w:rsidR="000347F7" w:rsidRDefault="00505823">
                    <w:pPr>
                      <w:pStyle w:val="Normal1"/>
                      <w:jc w:val="right"/>
                      <w:textDirection w:val="btLr"/>
                    </w:pPr>
                    <w:r>
                      <w:rPr>
                        <w:rFonts w:ascii="Calibri" w:eastAsia="Calibri" w:hAnsi="Calibri" w:cs="Calibri"/>
                        <w:sz w:val="17"/>
                      </w:rPr>
                      <w:t xml:space="preserve">www.ausmcgill.com </w:t>
                    </w:r>
                  </w:p>
                </w:txbxContent>
              </v:textbox>
              <w10:wrap anchorx="margin"/>
            </v:rect>
          </w:pict>
        </mc:Fallback>
      </mc:AlternateContent>
    </w:r>
  </w:p>
  <w:p w:rsidR="000347F7" w:rsidRDefault="000347F7">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5F"/>
    <w:multiLevelType w:val="hybridMultilevel"/>
    <w:tmpl w:val="9EE2E7BC"/>
    <w:lvl w:ilvl="0" w:tplc="CCE4064A">
      <w:start w:val="1"/>
      <w:numFmt w:val="decimal"/>
      <w:lvlText w:val="%1."/>
      <w:lvlJc w:val="left"/>
      <w:pPr>
        <w:ind w:left="720" w:hanging="360"/>
      </w:pPr>
    </w:lvl>
    <w:lvl w:ilvl="1" w:tplc="8506B530">
      <w:start w:val="1"/>
      <w:numFmt w:val="decimal"/>
      <w:lvlText w:val="%2."/>
      <w:lvlJc w:val="left"/>
      <w:pPr>
        <w:ind w:left="1440" w:hanging="1080"/>
      </w:pPr>
    </w:lvl>
    <w:lvl w:ilvl="2" w:tplc="5F7CA6D0">
      <w:start w:val="1"/>
      <w:numFmt w:val="decimal"/>
      <w:lvlText w:val="%3."/>
      <w:lvlJc w:val="left"/>
      <w:pPr>
        <w:ind w:left="2160" w:hanging="1980"/>
      </w:pPr>
    </w:lvl>
    <w:lvl w:ilvl="3" w:tplc="E4D69FDA">
      <w:start w:val="1"/>
      <w:numFmt w:val="decimal"/>
      <w:lvlText w:val="%4."/>
      <w:lvlJc w:val="left"/>
      <w:pPr>
        <w:ind w:left="2880" w:hanging="2520"/>
      </w:pPr>
    </w:lvl>
    <w:lvl w:ilvl="4" w:tplc="05A8665E">
      <w:start w:val="1"/>
      <w:numFmt w:val="decimal"/>
      <w:lvlText w:val="%5."/>
      <w:lvlJc w:val="left"/>
      <w:pPr>
        <w:ind w:left="3600" w:hanging="3240"/>
      </w:pPr>
    </w:lvl>
    <w:lvl w:ilvl="5" w:tplc="8A824694">
      <w:start w:val="1"/>
      <w:numFmt w:val="decimal"/>
      <w:lvlText w:val="%6."/>
      <w:lvlJc w:val="left"/>
      <w:pPr>
        <w:ind w:left="4320" w:hanging="4140"/>
      </w:pPr>
    </w:lvl>
    <w:lvl w:ilvl="6" w:tplc="15EA1DBE">
      <w:start w:val="1"/>
      <w:numFmt w:val="decimal"/>
      <w:lvlText w:val="%7."/>
      <w:lvlJc w:val="left"/>
      <w:pPr>
        <w:ind w:left="5040" w:hanging="4680"/>
      </w:pPr>
    </w:lvl>
    <w:lvl w:ilvl="7" w:tplc="8D70836A">
      <w:start w:val="1"/>
      <w:numFmt w:val="decimal"/>
      <w:lvlText w:val="%8."/>
      <w:lvlJc w:val="left"/>
      <w:pPr>
        <w:ind w:left="5760" w:hanging="5400"/>
      </w:pPr>
    </w:lvl>
    <w:lvl w:ilvl="8" w:tplc="F6024BCE">
      <w:start w:val="1"/>
      <w:numFmt w:val="decimal"/>
      <w:lvlText w:val="%9."/>
      <w:lvlJc w:val="left"/>
      <w:pPr>
        <w:ind w:left="6480" w:hanging="6300"/>
      </w:pPr>
    </w:lvl>
  </w:abstractNum>
  <w:abstractNum w:abstractNumId="1" w15:restartNumberingAfterBreak="0">
    <w:nsid w:val="40861BA7"/>
    <w:multiLevelType w:val="hybridMultilevel"/>
    <w:tmpl w:val="3BF6D7A0"/>
    <w:lvl w:ilvl="0" w:tplc="B1FA5FC2">
      <w:numFmt w:val="bullet"/>
      <w:lvlText w:val=""/>
      <w:lvlJc w:val="left"/>
      <w:pPr>
        <w:ind w:left="720" w:hanging="360"/>
      </w:pPr>
      <w:rPr>
        <w:rFonts w:ascii="Symbol" w:hAnsi="Symbol"/>
      </w:rPr>
    </w:lvl>
    <w:lvl w:ilvl="1" w:tplc="F460A43E">
      <w:numFmt w:val="bullet"/>
      <w:lvlText w:val="o"/>
      <w:lvlJc w:val="left"/>
      <w:pPr>
        <w:ind w:left="1440" w:hanging="1080"/>
      </w:pPr>
      <w:rPr>
        <w:rFonts w:ascii="Courier New" w:hAnsi="Courier New"/>
      </w:rPr>
    </w:lvl>
    <w:lvl w:ilvl="2" w:tplc="4F7CBE0C">
      <w:numFmt w:val="bullet"/>
      <w:lvlText w:val=""/>
      <w:lvlJc w:val="left"/>
      <w:pPr>
        <w:ind w:left="2160" w:hanging="1800"/>
      </w:pPr>
    </w:lvl>
    <w:lvl w:ilvl="3" w:tplc="440AC83C">
      <w:numFmt w:val="bullet"/>
      <w:lvlText w:val=""/>
      <w:lvlJc w:val="left"/>
      <w:pPr>
        <w:ind w:left="2880" w:hanging="2520"/>
      </w:pPr>
      <w:rPr>
        <w:rFonts w:ascii="Symbol" w:hAnsi="Symbol"/>
      </w:rPr>
    </w:lvl>
    <w:lvl w:ilvl="4" w:tplc="2C32ED08">
      <w:numFmt w:val="bullet"/>
      <w:lvlText w:val="o"/>
      <w:lvlJc w:val="left"/>
      <w:pPr>
        <w:ind w:left="3600" w:hanging="3240"/>
      </w:pPr>
      <w:rPr>
        <w:rFonts w:ascii="Courier New" w:hAnsi="Courier New"/>
      </w:rPr>
    </w:lvl>
    <w:lvl w:ilvl="5" w:tplc="DF4AA434">
      <w:numFmt w:val="bullet"/>
      <w:lvlText w:val=""/>
      <w:lvlJc w:val="left"/>
      <w:pPr>
        <w:ind w:left="4320" w:hanging="3960"/>
      </w:pPr>
    </w:lvl>
    <w:lvl w:ilvl="6" w:tplc="D5022C36">
      <w:numFmt w:val="bullet"/>
      <w:lvlText w:val=""/>
      <w:lvlJc w:val="left"/>
      <w:pPr>
        <w:ind w:left="5040" w:hanging="4680"/>
      </w:pPr>
      <w:rPr>
        <w:rFonts w:ascii="Symbol" w:hAnsi="Symbol"/>
      </w:rPr>
    </w:lvl>
    <w:lvl w:ilvl="7" w:tplc="7DCC8EC6">
      <w:numFmt w:val="bullet"/>
      <w:lvlText w:val="o"/>
      <w:lvlJc w:val="left"/>
      <w:pPr>
        <w:ind w:left="5760" w:hanging="5400"/>
      </w:pPr>
      <w:rPr>
        <w:rFonts w:ascii="Courier New" w:hAnsi="Courier New"/>
      </w:rPr>
    </w:lvl>
    <w:lvl w:ilvl="8" w:tplc="D9B48C5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7"/>
    <w:rsid w:val="000347F7"/>
    <w:rsid w:val="00505823"/>
    <w:rsid w:val="00A64F32"/>
    <w:rsid w:val="00CB29C3"/>
    <w:rsid w:val="00E11C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2410F"/>
  <w15:docId w15:val="{196CDB16-B24B-4DDE-A236-94715E9B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Trana</dc:creator>
  <cp:lastModifiedBy>Mia Trana</cp:lastModifiedBy>
  <cp:revision>2</cp:revision>
  <dcterms:created xsi:type="dcterms:W3CDTF">2018-10-12T19:25:00Z</dcterms:created>
  <dcterms:modified xsi:type="dcterms:W3CDTF">2018-10-12T19:25:00Z</dcterms:modified>
</cp:coreProperties>
</file>