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the Involvement Restriction Policy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AUS has a number of events with high amounts of people;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these cases have been in a grey area at AUS given that there are no formal mechanisms to retain the names of individuals who harm others during social and other events;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AUS has a mandate to create a safe, equitable, and accessible space.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this policy creates a clear mandate and order for dealing with these issues;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the AUS approve the Involvement Restriction Policy.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Moved by,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Kimberly Yang, VP Social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Maria Thomas, President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Rebecca Scarra, VP External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