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7D7A4" w14:textId="583E3ACC" w:rsidR="00AD62A6" w:rsidRPr="00AD62A6" w:rsidRDefault="00AD62A6" w:rsidP="00AD62A6">
      <w:pPr>
        <w:jc w:val="center"/>
        <w:rPr>
          <w:rFonts w:ascii="HelveticaNeue LightExt" w:hAnsi="HelveticaNeue LightExt"/>
          <w:b/>
          <w:sz w:val="42"/>
        </w:rPr>
      </w:pPr>
      <w:r>
        <w:rPr>
          <w:rFonts w:ascii="HelveticaNeue LightExt" w:hAnsi="HelveticaNeue LightExt"/>
          <w:b/>
          <w:noProof/>
          <w:sz w:val="42"/>
          <w:lang w:eastAsia="en-CA"/>
        </w:rPr>
        <mc:AlternateContent>
          <mc:Choice Requires="wps">
            <w:drawing>
              <wp:anchor distT="0" distB="0" distL="114300" distR="114300" simplePos="0" relativeHeight="251662336" behindDoc="0" locked="0" layoutInCell="1" allowOverlap="1" wp14:anchorId="12532B60" wp14:editId="1BB3CC82">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7DF50"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CSFH2H3gAAAA4BAAAPAAAAZHJzL2Rvd25yZXYueG1sTE/LTsMwELwj&#13;&#10;8Q/WInFrnVQERWmcqgIFceFAQZzd2CRR7XVku3Hg61nEgV72PbMz9W6xhs3ah9GhgHydAdPYOTVi&#13;&#10;L+D9rV2VwEKUqKRxqAV86QC75vqqlpVyCV/1fIg9IxIMlRQwxDhVnIdu0FaGtZs00u7TeSsjtb7n&#13;&#10;ystE5NbwTZbdcytHpA+DnPTDoLvT4WwFYB4/TEoxzf67eCryon3OXlohbm+Wxy2F/RZY1Ev8R8Cv&#13;&#10;B9IPDQk7ujOqwIyAVV6SoSiguKNMB2W5oeL4N+BNzS9tND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khR9h94AAAAOAQAADwAAAAAAAAAAAAAAAAB3BAAAZHJzL2Rvd25yZXYueG1s&#13;&#10;UEsFBgAAAAAEAAQA8wAAAIIFAAAAAA==&#13;&#10;" strokeweight=".5pt"/>
            </w:pict>
          </mc:Fallback>
        </mc:AlternateContent>
      </w:r>
      <w:r>
        <w:rPr>
          <w:noProof/>
          <w:lang w:eastAsia="en-CA"/>
        </w:rPr>
        <mc:AlternateContent>
          <mc:Choice Requires="wps">
            <w:drawing>
              <wp:anchor distT="0" distB="0" distL="114300" distR="114300" simplePos="0" relativeHeight="251660288" behindDoc="0" locked="0" layoutInCell="1" allowOverlap="1" wp14:anchorId="5BB94767" wp14:editId="6DF532C0">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208F7" w14:textId="77777777" w:rsidR="00AD62A6" w:rsidRDefault="00AD62A6" w:rsidP="00AD62A6">
                            <w:pPr>
                              <w:rPr>
                                <w:rFonts w:ascii="Arial" w:hAnsi="Arial" w:cs="Arial"/>
                                <w:sz w:val="17"/>
                                <w:szCs w:val="17"/>
                              </w:rPr>
                            </w:pPr>
                            <w:r w:rsidRPr="00253812">
                              <w:rPr>
                                <w:rFonts w:ascii="Arial" w:hAnsi="Arial" w:cs="Arial"/>
                                <w:b/>
                                <w:sz w:val="17"/>
                                <w:szCs w:val="17"/>
                              </w:rPr>
                              <w:t>Arts Undergraduate Society of McGill University</w:t>
                            </w:r>
                          </w:p>
                          <w:p w14:paraId="2C3EE411" w14:textId="77777777" w:rsidR="00AD62A6" w:rsidRPr="00253812" w:rsidRDefault="00AD62A6" w:rsidP="00AD62A6">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03C02F14" w14:textId="77777777" w:rsidR="00AD62A6" w:rsidRPr="00253812" w:rsidRDefault="00AD62A6" w:rsidP="00AD62A6">
                            <w:pPr>
                              <w:rPr>
                                <w:rFonts w:ascii="Arial" w:hAnsi="Arial" w:cs="Arial"/>
                                <w:sz w:val="17"/>
                                <w:szCs w:val="17"/>
                              </w:rPr>
                            </w:pPr>
                            <w:r w:rsidRPr="00253812">
                              <w:rPr>
                                <w:rFonts w:ascii="Arial" w:hAnsi="Arial" w:cs="Arial"/>
                                <w:sz w:val="17"/>
                                <w:szCs w:val="17"/>
                              </w:rPr>
                              <w:t>Leacock B-12</w:t>
                            </w:r>
                          </w:p>
                          <w:p w14:paraId="7EDAD001" w14:textId="77777777" w:rsidR="00AD62A6" w:rsidRPr="00253812" w:rsidRDefault="00AD62A6" w:rsidP="00AD62A6">
                            <w:pPr>
                              <w:rPr>
                                <w:rFonts w:ascii="Arial" w:hAnsi="Arial" w:cs="Arial"/>
                                <w:sz w:val="17"/>
                                <w:szCs w:val="17"/>
                              </w:rPr>
                            </w:pPr>
                            <w:r w:rsidRPr="00253812">
                              <w:rPr>
                                <w:rFonts w:ascii="Arial" w:hAnsi="Arial" w:cs="Arial"/>
                                <w:sz w:val="17"/>
                                <w:szCs w:val="17"/>
                              </w:rPr>
                              <w:t>Montreal, Quebec  H3A 2T7</w:t>
                            </w:r>
                          </w:p>
                          <w:p w14:paraId="2B6AA9FB" w14:textId="77777777" w:rsidR="00AD62A6" w:rsidRPr="00253812" w:rsidRDefault="00AD62A6" w:rsidP="00AD62A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94767" id="_x0000_t202" coordsize="21600,21600" o:spt="202" path="m,l,21600r21600,l21600,xe">
                <v:stroke joinstyle="miter"/>
                <v:path gradientshapeok="t" o:connecttype="rect"/>
              </v:shapetype>
              <v:shape id="Text Box 3" o:spid="_x0000_s1026"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nXEtAIAALk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USctlQsWG3SsmhYbSC7EJ70z+7&#13;&#10;OuJoC7IePsgKwtCtkQ5oX6vOlg6KgQAduvR06oxNpQRjNCMTaDdGJZzFszCGtQ1B0+PtXmnzjskO&#13;&#10;2UWGFXTeodPdvTaj69HFBhOy4G0Ldpq24sIAmKMFYsNVe2azcM38kQTJar6aE49E05VHgjz3bosl&#13;&#10;8aZFOIvzSb5c5uFPGzckacOrigkb5iiskPxZ4w4SHyVxkpaWLa8snE1Jq8162Sq0oyDswn2Hgpy5&#13;&#10;+ZdpuHoBlxeUwogEd1HiFdP5zCMFib1kFsy9IEzukmlAEpIXl5TuuWD/TgkNGU7iKB7F9Ftugfte&#13;&#10;c6Npxw2MjpZ3GZ6fnGhqJbgSlWutobwd12elsOk/lwLafWy0E6zV6KhWs1/vAcWqeC2rJ5CukqAs&#13;&#10;ECHMO1g0Un3HaIDZkWH9bUsVw6h9L0D+SUiIHTZuQ+JZBBt1frI+P6GiBKgMG4zG5dKMA2rbK75p&#13;&#10;INL44IS8hSdTc6fm56wODw3mgyN1mGV2AJ3vndfzxF38AgAA//8DAFBLAwQUAAYACAAAACEAKEV2&#13;&#10;zuAAAAAPAQAADwAAAGRycy9kb3ducmV2LnhtbExPTW/CMAy9T9p/iIy0GyQMqKA0RdPQrpsGbBK3&#13;&#10;0Ji2onGqJtDu3887jYv1nmy/j2wzuEbcsAu1Jw3TiQKBVHhbU6nhsH8bL0GEaMiaxhNq+MEAm/zx&#13;&#10;ITOp9T194m0XS8EiFFKjoYqxTaUMRYXOhIlvkXh39p0zkWlXStuZnsVdI5+VSqQzNbFDZVp8rbC4&#13;&#10;7K5Ow9f7+fg9Vx/l1i3a3g9KkltJrZ9Gw3bN42UNIuIQ/z/grwPnh5yDnfyVbBAN89WSC0UN41nC&#13;&#10;gC+SmWJw0rCYK5B5Ju975L8AAAD//wMAUEsBAi0AFAAGAAgAAAAhALaDOJL+AAAA4QEAABMAAAAA&#13;&#10;AAAAAAAAAAAAAAAAAFtDb250ZW50X1R5cGVzXS54bWxQSwECLQAUAAYACAAAACEAOP0h/9YAAACU&#13;&#10;AQAACwAAAAAAAAAAAAAAAAAvAQAAX3JlbHMvLnJlbHNQSwECLQAUAAYACAAAACEAXRZ1xLQCAAC5&#13;&#10;BQAADgAAAAAAAAAAAAAAAAAuAgAAZHJzL2Uyb0RvYy54bWxQSwECLQAUAAYACAAAACEAKEV2zuAA&#13;&#10;AAAPAQAADwAAAAAAAAAAAAAAAAAOBQAAZHJzL2Rvd25yZXYueG1sUEsFBgAAAAAEAAQA8wAAABsG&#13;&#10;AAAAAA==&#13;&#10;" filled="f" stroked="f">
                <v:textbox>
                  <w:txbxContent>
                    <w:p w14:paraId="5DA208F7" w14:textId="77777777" w:rsidR="00AD62A6" w:rsidRDefault="00AD62A6" w:rsidP="00AD62A6">
                      <w:pPr>
                        <w:rPr>
                          <w:rFonts w:ascii="Arial" w:hAnsi="Arial" w:cs="Arial"/>
                          <w:sz w:val="17"/>
                          <w:szCs w:val="17"/>
                        </w:rPr>
                      </w:pPr>
                      <w:r w:rsidRPr="00253812">
                        <w:rPr>
                          <w:rFonts w:ascii="Arial" w:hAnsi="Arial" w:cs="Arial"/>
                          <w:b/>
                          <w:sz w:val="17"/>
                          <w:szCs w:val="17"/>
                        </w:rPr>
                        <w:t>Arts Undergraduate Society of McGill University</w:t>
                      </w:r>
                    </w:p>
                    <w:p w14:paraId="2C3EE411" w14:textId="77777777" w:rsidR="00AD62A6" w:rsidRPr="00253812" w:rsidRDefault="00AD62A6" w:rsidP="00AD62A6">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03C02F14" w14:textId="77777777" w:rsidR="00AD62A6" w:rsidRPr="00253812" w:rsidRDefault="00AD62A6" w:rsidP="00AD62A6">
                      <w:pPr>
                        <w:rPr>
                          <w:rFonts w:ascii="Arial" w:hAnsi="Arial" w:cs="Arial"/>
                          <w:sz w:val="17"/>
                          <w:szCs w:val="17"/>
                        </w:rPr>
                      </w:pPr>
                      <w:r w:rsidRPr="00253812">
                        <w:rPr>
                          <w:rFonts w:ascii="Arial" w:hAnsi="Arial" w:cs="Arial"/>
                          <w:sz w:val="17"/>
                          <w:szCs w:val="17"/>
                        </w:rPr>
                        <w:t>Leacock B-12</w:t>
                      </w:r>
                    </w:p>
                    <w:p w14:paraId="7EDAD001" w14:textId="77777777" w:rsidR="00AD62A6" w:rsidRPr="00253812" w:rsidRDefault="00AD62A6" w:rsidP="00AD62A6">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2B6AA9FB" w14:textId="77777777" w:rsidR="00AD62A6" w:rsidRPr="00253812" w:rsidRDefault="00AD62A6" w:rsidP="00AD62A6">
                      <w:pPr>
                        <w:rPr>
                          <w:rFonts w:ascii="Arial" w:hAnsi="Arial" w:cs="Arial"/>
                          <w:sz w:val="16"/>
                          <w:szCs w:val="16"/>
                        </w:rPr>
                      </w:pPr>
                    </w:p>
                  </w:txbxContent>
                </v:textbox>
              </v:shape>
            </w:pict>
          </mc:Fallback>
        </mc:AlternateContent>
      </w:r>
      <w:r>
        <w:rPr>
          <w:noProof/>
          <w:lang w:eastAsia="en-CA"/>
        </w:rPr>
        <mc:AlternateContent>
          <mc:Choice Requires="wps">
            <w:drawing>
              <wp:anchor distT="0" distB="0" distL="114300" distR="114300" simplePos="0" relativeHeight="251661312" behindDoc="0" locked="0" layoutInCell="1" allowOverlap="1" wp14:anchorId="72A8E503" wp14:editId="54668845">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353F5" w14:textId="77777777" w:rsidR="00AD62A6" w:rsidRDefault="00AD62A6" w:rsidP="00AD62A6">
                            <w:pPr>
                              <w:jc w:val="right"/>
                              <w:rPr>
                                <w:rFonts w:ascii="Arial" w:hAnsi="Arial" w:cs="Arial"/>
                                <w:sz w:val="17"/>
                                <w:szCs w:val="17"/>
                              </w:rPr>
                            </w:pPr>
                            <w:r>
                              <w:rPr>
                                <w:rFonts w:ascii="Arial" w:hAnsi="Arial" w:cs="Arial"/>
                                <w:sz w:val="17"/>
                                <w:szCs w:val="17"/>
                              </w:rPr>
                              <w:t>Tel: (514) 398-1993</w:t>
                            </w:r>
                          </w:p>
                          <w:p w14:paraId="1798DC43" w14:textId="77777777" w:rsidR="00AD62A6" w:rsidRDefault="00AD62A6" w:rsidP="00AD62A6">
                            <w:pPr>
                              <w:jc w:val="right"/>
                              <w:rPr>
                                <w:rFonts w:ascii="Arial" w:hAnsi="Arial" w:cs="Arial"/>
                                <w:sz w:val="17"/>
                                <w:szCs w:val="17"/>
                              </w:rPr>
                            </w:pPr>
                            <w:r>
                              <w:rPr>
                                <w:rFonts w:ascii="Arial" w:hAnsi="Arial" w:cs="Arial"/>
                                <w:sz w:val="17"/>
                                <w:szCs w:val="17"/>
                              </w:rPr>
                              <w:t>Fax: (514) 398-4431</w:t>
                            </w:r>
                          </w:p>
                          <w:p w14:paraId="5E46AC49" w14:textId="77777777" w:rsidR="00AD62A6" w:rsidRPr="00253812" w:rsidRDefault="00AD62A6" w:rsidP="00AD62A6">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E503"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UuAIAAMA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6N9GVbNRsxbUT2B&#13;&#10;gqUAgYEWYezBohHyG0YDjJAMq697IilG7TsOryDxw9DMHLsJo2UAGzm3bOcWwkuAyrDGaFqu9TSn&#13;&#10;9r1kuwYiTe+Oi1t4OTWzor5kdXxvMCZsbceRZubQfG+9LoN39RMAAP//AwBQSwMEFAAGAAgAAAAh&#13;&#10;ADfpRbjfAAAADwEAAA8AAABkcnMvZG93bnJldi54bWxMT8tOwzAQvCPxD9YicWvtRhRCmk2FqLiC&#13;&#10;KLQSNzfZJhHxOordJvw92xNc9j2zM/l6cp060xBazwiLuQFFXPqq5Rrh8+NlloIK0XJlO8+E8EMB&#13;&#10;1sX1VW6zyo/8TudtrJWQcMgsQhNjn2kdyoacDXPfE8vu6Adno7RDravBjkLuOp0Yc6+dbVk+NLan&#13;&#10;54bK7+3JIexej1/7O/NWb9yyH/1kNLtHjXh7M21WEp5WoCJN8Q8BFw+iHwoRdvAnroLqEJZJIoYi&#13;&#10;wmyRSiEXaXqZHBAeJOsi1/99FL8AAAD//wMAUEsBAi0AFAAGAAgAAAAhALaDOJL+AAAA4QEAABMA&#13;&#10;AAAAAAAAAAAAAAAAAAAAAFtDb250ZW50X1R5cGVzXS54bWxQSwECLQAUAAYACAAAACEAOP0h/9YA&#13;&#10;AACUAQAACwAAAAAAAAAAAAAAAAAvAQAAX3JlbHMvLnJlbHNQSwECLQAUAAYACAAAACEA5llv1LgC&#13;&#10;AADABQAADgAAAAAAAAAAAAAAAAAuAgAAZHJzL2Uyb0RvYy54bWxQSwECLQAUAAYACAAAACEAN+lF&#13;&#10;uN8AAAAPAQAADwAAAAAAAAAAAAAAAAASBQAAZHJzL2Rvd25yZXYueG1sUEsFBgAAAAAEAAQA8wAA&#13;&#10;AB4GAAAAAA==&#13;&#10;" filled="f" stroked="f">
                <v:textbox>
                  <w:txbxContent>
                    <w:p w14:paraId="626353F5" w14:textId="77777777" w:rsidR="00AD62A6" w:rsidRDefault="00AD62A6" w:rsidP="00AD62A6">
                      <w:pPr>
                        <w:jc w:val="right"/>
                        <w:rPr>
                          <w:rFonts w:ascii="Arial" w:hAnsi="Arial" w:cs="Arial"/>
                          <w:sz w:val="17"/>
                          <w:szCs w:val="17"/>
                        </w:rPr>
                      </w:pPr>
                      <w:r>
                        <w:rPr>
                          <w:rFonts w:ascii="Arial" w:hAnsi="Arial" w:cs="Arial"/>
                          <w:sz w:val="17"/>
                          <w:szCs w:val="17"/>
                        </w:rPr>
                        <w:t>Tel: (514) 398-1993</w:t>
                      </w:r>
                    </w:p>
                    <w:p w14:paraId="1798DC43" w14:textId="77777777" w:rsidR="00AD62A6" w:rsidRDefault="00AD62A6" w:rsidP="00AD62A6">
                      <w:pPr>
                        <w:jc w:val="right"/>
                        <w:rPr>
                          <w:rFonts w:ascii="Arial" w:hAnsi="Arial" w:cs="Arial"/>
                          <w:sz w:val="17"/>
                          <w:szCs w:val="17"/>
                        </w:rPr>
                      </w:pPr>
                      <w:r>
                        <w:rPr>
                          <w:rFonts w:ascii="Arial" w:hAnsi="Arial" w:cs="Arial"/>
                          <w:sz w:val="17"/>
                          <w:szCs w:val="17"/>
                        </w:rPr>
                        <w:t>Fax: (514) 398-4431</w:t>
                      </w:r>
                    </w:p>
                    <w:p w14:paraId="5E46AC49" w14:textId="77777777" w:rsidR="00AD62A6" w:rsidRPr="00253812" w:rsidRDefault="00AD62A6" w:rsidP="00AD62A6">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eastAsia="en-CA"/>
        </w:rPr>
        <w:drawing>
          <wp:anchor distT="0" distB="0" distL="114300" distR="114300" simplePos="0" relativeHeight="251659264" behindDoc="0" locked="0" layoutInCell="1" allowOverlap="1" wp14:anchorId="7C86935B" wp14:editId="51D01786">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362AD" w14:textId="77777777" w:rsidR="00AD62A6" w:rsidRDefault="00AD62A6" w:rsidP="00C3258C"/>
    <w:p w14:paraId="34802D7D" w14:textId="24676870" w:rsidR="00AD62A6" w:rsidRPr="00AD62A6" w:rsidRDefault="00AD62A6" w:rsidP="00AD62A6">
      <w:pPr>
        <w:jc w:val="center"/>
        <w:rPr>
          <w:b/>
          <w:sz w:val="28"/>
        </w:rPr>
      </w:pPr>
      <w:r w:rsidRPr="00AD62A6">
        <w:rPr>
          <w:b/>
          <w:sz w:val="28"/>
        </w:rPr>
        <w:t>Motion to Amend the General and Departmental Electoral By-Laws</w:t>
      </w:r>
    </w:p>
    <w:p w14:paraId="10F49129" w14:textId="77777777" w:rsidR="00AD62A6" w:rsidRPr="00C1781B" w:rsidRDefault="00AD62A6" w:rsidP="00C3258C">
      <w:pPr>
        <w:rPr>
          <w:rFonts w:ascii="Times New Roman" w:hAnsi="Times New Roman" w:cs="Times New Roman"/>
        </w:rPr>
      </w:pPr>
    </w:p>
    <w:p w14:paraId="54559F84" w14:textId="345DE3AF" w:rsidR="00BF388B" w:rsidRPr="00C1781B" w:rsidRDefault="00C3258C" w:rsidP="00C3258C">
      <w:pPr>
        <w:rPr>
          <w:rFonts w:ascii="Times New Roman" w:hAnsi="Times New Roman" w:cs="Times New Roman"/>
        </w:rPr>
      </w:pPr>
      <w:r w:rsidRPr="00C1781B">
        <w:rPr>
          <w:rFonts w:ascii="Times New Roman" w:hAnsi="Times New Roman" w:cs="Times New Roman"/>
        </w:rPr>
        <w:t>Whereas, there is large ambiguity in the three-strike process in elections;</w:t>
      </w:r>
    </w:p>
    <w:p w14:paraId="73D56A7C" w14:textId="77777777" w:rsidR="00C3258C" w:rsidRPr="00C1781B" w:rsidRDefault="00C3258C" w:rsidP="00C3258C">
      <w:pPr>
        <w:rPr>
          <w:rFonts w:ascii="Times New Roman" w:hAnsi="Times New Roman" w:cs="Times New Roman"/>
        </w:rPr>
      </w:pPr>
    </w:p>
    <w:p w14:paraId="5D630796" w14:textId="77777777" w:rsidR="00C3258C" w:rsidRPr="00C1781B" w:rsidRDefault="00C3258C" w:rsidP="00C3258C">
      <w:pPr>
        <w:rPr>
          <w:rFonts w:ascii="Times New Roman" w:hAnsi="Times New Roman" w:cs="Times New Roman"/>
        </w:rPr>
      </w:pPr>
      <w:r w:rsidRPr="00C1781B">
        <w:rPr>
          <w:rFonts w:ascii="Times New Roman" w:hAnsi="Times New Roman" w:cs="Times New Roman"/>
        </w:rPr>
        <w:t>Whereas, slates can run into issues such as lack of communication between the team;</w:t>
      </w:r>
    </w:p>
    <w:p w14:paraId="68460940" w14:textId="77777777" w:rsidR="00C3258C" w:rsidRPr="00C1781B" w:rsidRDefault="00C3258C" w:rsidP="00C3258C">
      <w:pPr>
        <w:rPr>
          <w:rFonts w:ascii="Times New Roman" w:hAnsi="Times New Roman" w:cs="Times New Roman"/>
        </w:rPr>
      </w:pPr>
    </w:p>
    <w:p w14:paraId="61DDD63B" w14:textId="77777777" w:rsidR="00C3258C" w:rsidRPr="00C1781B" w:rsidRDefault="00C3258C" w:rsidP="00C3258C">
      <w:pPr>
        <w:rPr>
          <w:rFonts w:ascii="Times New Roman" w:hAnsi="Times New Roman" w:cs="Times New Roman"/>
        </w:rPr>
      </w:pPr>
      <w:r w:rsidRPr="00C1781B">
        <w:rPr>
          <w:rFonts w:ascii="Times New Roman" w:hAnsi="Times New Roman" w:cs="Times New Roman"/>
        </w:rPr>
        <w:t>Whereas, Constitution By-Law and Review Committee</w:t>
      </w:r>
      <w:r w:rsidR="00540F13" w:rsidRPr="00C1781B">
        <w:rPr>
          <w:rFonts w:ascii="Times New Roman" w:hAnsi="Times New Roman" w:cs="Times New Roman"/>
        </w:rPr>
        <w:t xml:space="preserve"> has provided their input;</w:t>
      </w:r>
    </w:p>
    <w:p w14:paraId="16708A8D" w14:textId="77777777" w:rsidR="00540F13" w:rsidRPr="00C1781B" w:rsidRDefault="00540F13" w:rsidP="00C3258C">
      <w:pPr>
        <w:rPr>
          <w:rFonts w:ascii="Times New Roman" w:hAnsi="Times New Roman" w:cs="Times New Roman"/>
        </w:rPr>
      </w:pPr>
    </w:p>
    <w:p w14:paraId="767FF306" w14:textId="66628CB5" w:rsidR="00540F13" w:rsidRPr="00C1781B" w:rsidRDefault="00540F13" w:rsidP="00C3258C">
      <w:pPr>
        <w:rPr>
          <w:rFonts w:ascii="Times New Roman" w:hAnsi="Times New Roman" w:cs="Times New Roman"/>
        </w:rPr>
      </w:pPr>
      <w:r w:rsidRPr="00C1781B">
        <w:rPr>
          <w:rFonts w:ascii="Times New Roman" w:hAnsi="Times New Roman" w:cs="Times New Roman"/>
        </w:rPr>
        <w:t xml:space="preserve">Be it resolved, the AUS Legislative Council ratify the updated general and departmental electoral by-laws attached in the appendix. </w:t>
      </w:r>
    </w:p>
    <w:p w14:paraId="6DBCEB78" w14:textId="03A25422" w:rsidR="00AD62A6" w:rsidRPr="00C1781B" w:rsidRDefault="00AD62A6" w:rsidP="00C3258C">
      <w:pPr>
        <w:rPr>
          <w:rFonts w:ascii="Times New Roman" w:hAnsi="Times New Roman" w:cs="Times New Roman"/>
        </w:rPr>
      </w:pPr>
    </w:p>
    <w:p w14:paraId="05824172" w14:textId="3317E9EC" w:rsidR="00AD62A6" w:rsidRPr="00C1781B" w:rsidRDefault="00AD62A6" w:rsidP="00C3258C">
      <w:pPr>
        <w:rPr>
          <w:rFonts w:ascii="Times New Roman" w:hAnsi="Times New Roman" w:cs="Times New Roman"/>
        </w:rPr>
      </w:pPr>
      <w:r w:rsidRPr="00C1781B">
        <w:rPr>
          <w:rFonts w:ascii="Times New Roman" w:hAnsi="Times New Roman" w:cs="Times New Roman"/>
        </w:rPr>
        <w:t>Moved by,</w:t>
      </w:r>
    </w:p>
    <w:p w14:paraId="2501BD85" w14:textId="5245AFB3" w:rsidR="00AD62A6" w:rsidRPr="00C1781B" w:rsidRDefault="00AD62A6" w:rsidP="00C3258C">
      <w:pPr>
        <w:rPr>
          <w:rFonts w:ascii="Times New Roman" w:hAnsi="Times New Roman" w:cs="Times New Roman"/>
        </w:rPr>
      </w:pPr>
      <w:proofErr w:type="spellStart"/>
      <w:r w:rsidRPr="00C1781B">
        <w:rPr>
          <w:rFonts w:ascii="Times New Roman" w:hAnsi="Times New Roman" w:cs="Times New Roman"/>
        </w:rPr>
        <w:t>Brytan</w:t>
      </w:r>
      <w:proofErr w:type="spellEnd"/>
      <w:r w:rsidRPr="00C1781B">
        <w:rPr>
          <w:rFonts w:ascii="Times New Roman" w:hAnsi="Times New Roman" w:cs="Times New Roman"/>
        </w:rPr>
        <w:t xml:space="preserve"> Mendes, PSA VP External </w:t>
      </w:r>
    </w:p>
    <w:p w14:paraId="56725538" w14:textId="57997607" w:rsidR="00AD62A6" w:rsidRPr="00C1781B" w:rsidRDefault="00AD62A6" w:rsidP="00C3258C">
      <w:pPr>
        <w:rPr>
          <w:rFonts w:ascii="Times New Roman" w:hAnsi="Times New Roman" w:cs="Times New Roman"/>
        </w:rPr>
      </w:pPr>
      <w:r w:rsidRPr="00C1781B">
        <w:rPr>
          <w:rFonts w:ascii="Times New Roman" w:hAnsi="Times New Roman" w:cs="Times New Roman"/>
        </w:rPr>
        <w:t xml:space="preserve">Madeline Wilson, AUS Senator </w:t>
      </w:r>
    </w:p>
    <w:p w14:paraId="3551C608" w14:textId="00E3E108" w:rsidR="00AD62A6" w:rsidRPr="00C1781B" w:rsidRDefault="00AD62A6" w:rsidP="00C3258C">
      <w:pPr>
        <w:rPr>
          <w:rFonts w:ascii="Times New Roman" w:hAnsi="Times New Roman" w:cs="Times New Roman"/>
        </w:rPr>
      </w:pPr>
      <w:r w:rsidRPr="00C1781B">
        <w:rPr>
          <w:rFonts w:ascii="Times New Roman" w:hAnsi="Times New Roman" w:cs="Times New Roman"/>
        </w:rPr>
        <w:t xml:space="preserve">Maria Thomas, AUS President </w:t>
      </w:r>
    </w:p>
    <w:p w14:paraId="413CA122" w14:textId="4DFE7C27" w:rsidR="00B93C77" w:rsidRPr="00C1781B" w:rsidRDefault="00B93C77" w:rsidP="00C3258C">
      <w:pPr>
        <w:rPr>
          <w:rFonts w:ascii="Times New Roman" w:hAnsi="Times New Roman" w:cs="Times New Roman"/>
        </w:rPr>
      </w:pPr>
    </w:p>
    <w:p w14:paraId="36EDD190" w14:textId="5C8D62A5" w:rsidR="00B93C77" w:rsidRDefault="00B93C77" w:rsidP="00C3258C"/>
    <w:p w14:paraId="370E2BE8" w14:textId="35B74690" w:rsidR="00B93C77" w:rsidRDefault="00B93C77" w:rsidP="00C3258C"/>
    <w:p w14:paraId="531ACFA3" w14:textId="469C8B70" w:rsidR="00B93C77" w:rsidRDefault="00B93C77" w:rsidP="00C3258C"/>
    <w:p w14:paraId="7E9E1EC0" w14:textId="130EAE81" w:rsidR="00B93C77" w:rsidRDefault="00B93C77" w:rsidP="00C3258C"/>
    <w:p w14:paraId="35493CFE" w14:textId="55B5A39B" w:rsidR="00B93C77" w:rsidRDefault="00B93C77" w:rsidP="00C3258C"/>
    <w:p w14:paraId="34524827" w14:textId="53A6C7A6" w:rsidR="00B93C77" w:rsidRDefault="00B93C77" w:rsidP="00C3258C"/>
    <w:p w14:paraId="40461015" w14:textId="5AE3DB3B" w:rsidR="00B93C77" w:rsidRDefault="00B93C77" w:rsidP="00C3258C"/>
    <w:p w14:paraId="725E4BF5" w14:textId="2694FAEE" w:rsidR="00B93C77" w:rsidRDefault="00B93C77" w:rsidP="00C3258C"/>
    <w:p w14:paraId="3C6B38EE" w14:textId="7873CC56" w:rsidR="00B93C77" w:rsidRDefault="00B93C77" w:rsidP="00C3258C"/>
    <w:p w14:paraId="0D730332" w14:textId="104E43B3" w:rsidR="00B93C77" w:rsidRDefault="00B93C77" w:rsidP="00C3258C"/>
    <w:p w14:paraId="2587D5CA" w14:textId="67215CDB" w:rsidR="00B93C77" w:rsidRDefault="00B93C77" w:rsidP="00C3258C"/>
    <w:p w14:paraId="05F4196D" w14:textId="0080123D" w:rsidR="00B93C77" w:rsidRDefault="00B93C77" w:rsidP="00C3258C"/>
    <w:p w14:paraId="4C486502" w14:textId="1057D612" w:rsidR="00B93C77" w:rsidRDefault="00B93C77" w:rsidP="00C3258C"/>
    <w:p w14:paraId="14BC3567" w14:textId="13596120" w:rsidR="00B93C77" w:rsidRDefault="00B93C77" w:rsidP="00C3258C"/>
    <w:p w14:paraId="66EFBEA5" w14:textId="5B97D1C0" w:rsidR="00B93C77" w:rsidRDefault="00B93C77" w:rsidP="00C3258C"/>
    <w:p w14:paraId="6A56A457" w14:textId="18EB8589" w:rsidR="00162F96" w:rsidRDefault="00162F96" w:rsidP="00C3258C"/>
    <w:p w14:paraId="1E6E89C6" w14:textId="11A842D4" w:rsidR="00162F96" w:rsidRDefault="00162F96" w:rsidP="00C3258C"/>
    <w:p w14:paraId="7F1886F1" w14:textId="77777777" w:rsidR="00162F96" w:rsidRDefault="00162F96" w:rsidP="00C3258C"/>
    <w:p w14:paraId="24AE7F93" w14:textId="5560DF00" w:rsidR="00B93C77" w:rsidRDefault="00B93C77" w:rsidP="00C3258C"/>
    <w:p w14:paraId="0057F079" w14:textId="7D4CA64E" w:rsidR="00B93C77" w:rsidRDefault="00B93C77" w:rsidP="00C3258C"/>
    <w:p w14:paraId="00950A75" w14:textId="77777777" w:rsidR="00C23796" w:rsidRDefault="00C23796" w:rsidP="00C3258C"/>
    <w:p w14:paraId="4C550C0A" w14:textId="75BBA74F" w:rsidR="00B93C77" w:rsidRDefault="00B93C77" w:rsidP="00C3258C"/>
    <w:p w14:paraId="48427FD4" w14:textId="1A5575C3" w:rsidR="00B93C77" w:rsidRDefault="00B93C77" w:rsidP="00C3258C"/>
    <w:p w14:paraId="5B936E5D" w14:textId="77777777" w:rsidR="00B93C77" w:rsidRDefault="00B93C77" w:rsidP="00C3258C"/>
    <w:p w14:paraId="2F25FC5A" w14:textId="5F4ED98B" w:rsidR="00B93C77" w:rsidRDefault="00B93C77" w:rsidP="00C3258C"/>
    <w:p w14:paraId="6EFC82F5" w14:textId="6838EC8F" w:rsidR="00B93C77" w:rsidRDefault="00B93C77" w:rsidP="00C3258C"/>
    <w:p w14:paraId="7F1E4B22" w14:textId="77777777" w:rsidR="00B93C77" w:rsidRPr="00D421F4" w:rsidRDefault="00B93C77" w:rsidP="00B93C77">
      <w:pPr>
        <w:rPr>
          <w:b/>
          <w:sz w:val="28"/>
          <w:u w:val="single"/>
        </w:rPr>
      </w:pPr>
      <w:r w:rsidRPr="00D421F4">
        <w:rPr>
          <w:b/>
          <w:sz w:val="28"/>
          <w:u w:val="single"/>
        </w:rPr>
        <w:lastRenderedPageBreak/>
        <w:t>General Electoral By-Laws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62"/>
        <w:gridCol w:w="1417"/>
        <w:gridCol w:w="2552"/>
      </w:tblGrid>
      <w:tr w:rsidR="00B93C77" w:rsidRPr="006C77DA" w14:paraId="118CC9A5" w14:textId="77777777" w:rsidTr="00AA65C1">
        <w:tc>
          <w:tcPr>
            <w:tcW w:w="4962" w:type="dxa"/>
          </w:tcPr>
          <w:p w14:paraId="483556F4" w14:textId="77777777" w:rsidR="00B93C77" w:rsidRPr="00775667" w:rsidRDefault="00B93C77" w:rsidP="00AA65C1">
            <w:pPr>
              <w:jc w:val="center"/>
              <w:rPr>
                <w:sz w:val="28"/>
              </w:rPr>
            </w:pPr>
            <w:r w:rsidRPr="00775667">
              <w:rPr>
                <w:sz w:val="28"/>
              </w:rPr>
              <w:t>Clause to Change</w:t>
            </w:r>
          </w:p>
        </w:tc>
        <w:tc>
          <w:tcPr>
            <w:tcW w:w="1417" w:type="dxa"/>
          </w:tcPr>
          <w:p w14:paraId="4155B55E" w14:textId="77777777" w:rsidR="00B93C77" w:rsidRPr="00775667" w:rsidRDefault="00B93C77" w:rsidP="00AA65C1">
            <w:pPr>
              <w:jc w:val="center"/>
              <w:rPr>
                <w:sz w:val="28"/>
              </w:rPr>
            </w:pPr>
            <w:r w:rsidRPr="00775667">
              <w:rPr>
                <w:sz w:val="28"/>
              </w:rPr>
              <w:t>Reason</w:t>
            </w:r>
          </w:p>
        </w:tc>
        <w:tc>
          <w:tcPr>
            <w:tcW w:w="2552" w:type="dxa"/>
          </w:tcPr>
          <w:p w14:paraId="101BB21D" w14:textId="77777777" w:rsidR="00B93C77" w:rsidRPr="00775667" w:rsidRDefault="00B93C77" w:rsidP="00AA65C1">
            <w:pPr>
              <w:jc w:val="center"/>
              <w:rPr>
                <w:sz w:val="28"/>
              </w:rPr>
            </w:pPr>
            <w:r w:rsidRPr="00775667">
              <w:rPr>
                <w:sz w:val="28"/>
              </w:rPr>
              <w:t>Amended Clause</w:t>
            </w:r>
          </w:p>
        </w:tc>
      </w:tr>
      <w:tr w:rsidR="00B93C77" w14:paraId="03FD2346" w14:textId="77777777" w:rsidTr="00AA65C1">
        <w:tc>
          <w:tcPr>
            <w:tcW w:w="4962" w:type="dxa"/>
            <w:vAlign w:val="center"/>
          </w:tcPr>
          <w:p w14:paraId="612080E0" w14:textId="77777777" w:rsidR="00B93C77" w:rsidRPr="006C77DA" w:rsidRDefault="00B93C77" w:rsidP="00AA65C1">
            <w:pPr>
              <w:ind w:left="459" w:hanging="459"/>
              <w:jc w:val="center"/>
            </w:pPr>
            <w:r>
              <w:t>ADD</w:t>
            </w:r>
          </w:p>
        </w:tc>
        <w:tc>
          <w:tcPr>
            <w:tcW w:w="1417" w:type="dxa"/>
            <w:vAlign w:val="center"/>
          </w:tcPr>
          <w:p w14:paraId="36FD0B95" w14:textId="77777777" w:rsidR="00B93C77" w:rsidRPr="006C77DA" w:rsidRDefault="00B93C77" w:rsidP="00AA65C1">
            <w:pPr>
              <w:jc w:val="center"/>
            </w:pPr>
            <w:r w:rsidRPr="006213BC">
              <w:rPr>
                <w:rFonts w:cs="Times New Roman"/>
                <w:szCs w:val="24"/>
              </w:rPr>
              <w:t>To ensure Elections AUS can add electors to the election system</w:t>
            </w:r>
          </w:p>
        </w:tc>
        <w:tc>
          <w:tcPr>
            <w:tcW w:w="2552" w:type="dxa"/>
            <w:vAlign w:val="center"/>
          </w:tcPr>
          <w:p w14:paraId="24B236C9" w14:textId="77777777" w:rsidR="00B93C77" w:rsidRPr="006213BC" w:rsidRDefault="00B93C77" w:rsidP="00AA65C1">
            <w:pPr>
              <w:rPr>
                <w:rFonts w:cs="Times New Roman"/>
              </w:rPr>
            </w:pPr>
            <w:r w:rsidRPr="006213BC">
              <w:rPr>
                <w:rFonts w:cs="Times New Roman"/>
                <w:bCs/>
                <w:color w:val="000000"/>
              </w:rPr>
              <w:t xml:space="preserve">2.2 the AUS president must send the AUS elector’s list to the CRO before October 1st for elections taking place in the fall semester and before February 1st for elections taking place in the winter semester. </w:t>
            </w:r>
          </w:p>
          <w:p w14:paraId="63EC86D2" w14:textId="77777777" w:rsidR="00B93C77" w:rsidRPr="006C77DA" w:rsidRDefault="00B93C77" w:rsidP="00AA65C1">
            <w:pPr>
              <w:ind w:left="468" w:hanging="468"/>
            </w:pPr>
          </w:p>
        </w:tc>
      </w:tr>
      <w:tr w:rsidR="00B93C77" w14:paraId="79CBE3FB" w14:textId="77777777" w:rsidTr="00AA65C1">
        <w:tc>
          <w:tcPr>
            <w:tcW w:w="4962" w:type="dxa"/>
            <w:vAlign w:val="center"/>
          </w:tcPr>
          <w:p w14:paraId="213EE702" w14:textId="77777777" w:rsidR="00B93C77" w:rsidRDefault="00B93C77" w:rsidP="00AA65C1">
            <w:pPr>
              <w:jc w:val="center"/>
            </w:pPr>
            <w:r>
              <w:t>ADD</w:t>
            </w:r>
          </w:p>
        </w:tc>
        <w:tc>
          <w:tcPr>
            <w:tcW w:w="1417" w:type="dxa"/>
            <w:vAlign w:val="center"/>
          </w:tcPr>
          <w:p w14:paraId="05310282" w14:textId="77777777" w:rsidR="00B93C77" w:rsidRPr="006213BC" w:rsidRDefault="00B93C77" w:rsidP="00AA65C1">
            <w:pPr>
              <w:jc w:val="center"/>
              <w:rPr>
                <w:rFonts w:cs="Times New Roman"/>
                <w:szCs w:val="24"/>
              </w:rPr>
            </w:pPr>
            <w:r w:rsidRPr="006213BC">
              <w:rPr>
                <w:rFonts w:cs="Times New Roman"/>
                <w:szCs w:val="24"/>
              </w:rPr>
              <w:t>To ensure that all content and posts can be reviewed.</w:t>
            </w:r>
          </w:p>
        </w:tc>
        <w:tc>
          <w:tcPr>
            <w:tcW w:w="2552" w:type="dxa"/>
            <w:vAlign w:val="center"/>
          </w:tcPr>
          <w:p w14:paraId="4439F358" w14:textId="77777777" w:rsidR="00B93C77" w:rsidRPr="006213BC" w:rsidRDefault="00B93C77" w:rsidP="00AA65C1">
            <w:pPr>
              <w:pStyle w:val="NormalWeb"/>
              <w:spacing w:before="0" w:beforeAutospacing="0" w:after="0" w:afterAutospacing="0"/>
              <w:rPr>
                <w:szCs w:val="24"/>
              </w:rPr>
            </w:pPr>
            <w:r w:rsidRPr="006213BC">
              <w:rPr>
                <w:bCs/>
                <w:color w:val="000000"/>
                <w:szCs w:val="24"/>
              </w:rPr>
              <w:t>5.9.1</w:t>
            </w:r>
            <w:r w:rsidRPr="006213BC">
              <w:rPr>
                <w:bCs/>
                <w:color w:val="000000"/>
              </w:rPr>
              <w:t xml:space="preserve"> </w:t>
            </w:r>
            <w:r w:rsidRPr="006213BC">
              <w:rPr>
                <w:bCs/>
                <w:color w:val="000000"/>
                <w:szCs w:val="24"/>
              </w:rPr>
              <w:t>All candidates and referenda committees must invite the Elections AUS’ social media account to all groups and pages. Social media groups and pages are not included but not limited to Facebook, Twitter, and Instagram.</w:t>
            </w:r>
          </w:p>
          <w:p w14:paraId="7E3940B2" w14:textId="77777777" w:rsidR="00B93C77" w:rsidRPr="006213BC" w:rsidRDefault="00B93C77" w:rsidP="00AA65C1">
            <w:pPr>
              <w:rPr>
                <w:rFonts w:cs="Times New Roman"/>
                <w:szCs w:val="24"/>
              </w:rPr>
            </w:pPr>
          </w:p>
          <w:p w14:paraId="7573E2AC" w14:textId="77777777" w:rsidR="00B93C77" w:rsidRPr="006213BC" w:rsidRDefault="00B93C77" w:rsidP="00AA65C1">
            <w:pPr>
              <w:rPr>
                <w:rFonts w:cs="Times New Roman"/>
                <w:szCs w:val="24"/>
              </w:rPr>
            </w:pPr>
          </w:p>
        </w:tc>
      </w:tr>
      <w:tr w:rsidR="00B93C77" w14:paraId="64A7AD8B" w14:textId="77777777" w:rsidTr="00AA65C1">
        <w:tc>
          <w:tcPr>
            <w:tcW w:w="4962" w:type="dxa"/>
            <w:vAlign w:val="center"/>
          </w:tcPr>
          <w:p w14:paraId="1DF60BFF" w14:textId="77777777" w:rsidR="00B93C77" w:rsidRDefault="00B93C77" w:rsidP="00AA65C1">
            <w:pPr>
              <w:jc w:val="center"/>
            </w:pPr>
            <w:r>
              <w:t>AMEND</w:t>
            </w:r>
          </w:p>
          <w:p w14:paraId="0336FA33" w14:textId="77777777" w:rsidR="00B93C77" w:rsidRPr="00B24C73" w:rsidRDefault="00B93C77" w:rsidP="00AA65C1">
            <w:pPr>
              <w:ind w:left="459" w:hanging="459"/>
              <w:jc w:val="both"/>
            </w:pPr>
            <w:r w:rsidRPr="00B24C73">
              <w:t>7.4</w:t>
            </w:r>
            <w:r>
              <w:t xml:space="preserve"> </w:t>
            </w:r>
            <w:r w:rsidRPr="00B24C73">
              <w:t>Candidates and members of referendum committees who violate these Bylaws or the</w:t>
            </w:r>
            <w:r>
              <w:t xml:space="preserve"> </w:t>
            </w:r>
            <w:r w:rsidRPr="00B24C73">
              <w:t>AUS Constitution shall be subject to the following penalties:</w:t>
            </w:r>
          </w:p>
          <w:p w14:paraId="6F2931B8" w14:textId="77777777" w:rsidR="00B93C77" w:rsidRPr="00B24C73" w:rsidRDefault="00B93C77" w:rsidP="00AA65C1">
            <w:pPr>
              <w:ind w:left="743" w:hanging="317"/>
              <w:jc w:val="both"/>
            </w:pPr>
            <w:proofErr w:type="spellStart"/>
            <w:r w:rsidRPr="00B24C73">
              <w:t>i</w:t>
            </w:r>
            <w:proofErr w:type="spellEnd"/>
            <w:r w:rsidRPr="00B24C73">
              <w:t>) Upon a first infraction, candidates and members of referendum c</w:t>
            </w:r>
            <w:r>
              <w:t xml:space="preserve">ommittees </w:t>
            </w:r>
            <w:r w:rsidRPr="00B24C73">
              <w:t>shall</w:t>
            </w:r>
            <w:r>
              <w:t xml:space="preserve"> </w:t>
            </w:r>
            <w:r w:rsidRPr="00B24C73">
              <w:t xml:space="preserve">be notified of their </w:t>
            </w:r>
            <w:proofErr w:type="gramStart"/>
            <w:r w:rsidRPr="00B24C73">
              <w:t>infraction, and</w:t>
            </w:r>
            <w:proofErr w:type="gramEnd"/>
            <w:r w:rsidRPr="00B24C73">
              <w:t xml:space="preserve"> shall be penalized twenty dollars ($20.00).</w:t>
            </w:r>
          </w:p>
          <w:p w14:paraId="1A654CB8" w14:textId="77777777" w:rsidR="00B93C77" w:rsidRPr="00B24C73" w:rsidRDefault="00B93C77" w:rsidP="00AA65C1">
            <w:pPr>
              <w:ind w:left="743" w:hanging="317"/>
              <w:jc w:val="both"/>
            </w:pPr>
            <w:r w:rsidRPr="00B24C73">
              <w:t>ii) Upon a second infraction, candidates and members of referendum committees</w:t>
            </w:r>
            <w:r>
              <w:t xml:space="preserve"> </w:t>
            </w:r>
            <w:r w:rsidRPr="00B24C73">
              <w:t xml:space="preserve">shall be notified and further warned not to violate the AUS Electoral </w:t>
            </w:r>
            <w:proofErr w:type="gramStart"/>
            <w:r w:rsidRPr="00B24C73">
              <w:t>By-laws, and</w:t>
            </w:r>
            <w:proofErr w:type="gramEnd"/>
            <w:r>
              <w:t xml:space="preserve"> </w:t>
            </w:r>
            <w:r w:rsidRPr="00B24C73">
              <w:t>shall be rendered ineligible for reimbursement. Additionally, Elections AUS may</w:t>
            </w:r>
            <w:r>
              <w:t xml:space="preserve"> choose to </w:t>
            </w:r>
            <w:r w:rsidRPr="00B24C73">
              <w:t>publicly censure the candidate or referendum committee member.</w:t>
            </w:r>
          </w:p>
          <w:p w14:paraId="3B3CF667" w14:textId="77777777" w:rsidR="00B93C77" w:rsidRDefault="00B93C77" w:rsidP="00AA65C1">
            <w:pPr>
              <w:jc w:val="center"/>
            </w:pPr>
            <w:r w:rsidRPr="00B24C73">
              <w:t>iii) Upon a third infraction, candidates and m</w:t>
            </w:r>
            <w:r>
              <w:t xml:space="preserve">embers of referendum committees </w:t>
            </w:r>
            <w:r w:rsidRPr="00B24C73">
              <w:t>shall</w:t>
            </w:r>
            <w:r>
              <w:t xml:space="preserve"> </w:t>
            </w:r>
            <w:r w:rsidRPr="00B24C73">
              <w:t>be disqualified. If disqualification is deemed too severe a penalty, Elections AUS</w:t>
            </w:r>
            <w:r>
              <w:t xml:space="preserve"> </w:t>
            </w:r>
            <w:r w:rsidRPr="00B24C73">
              <w:t xml:space="preserve">shall issue a </w:t>
            </w:r>
            <w:r w:rsidRPr="00B24C73">
              <w:lastRenderedPageBreak/>
              <w:t>public censure through the AUS listserv or through a note on the</w:t>
            </w:r>
            <w:r>
              <w:t xml:space="preserve"> </w:t>
            </w:r>
            <w:r w:rsidRPr="00B24C73">
              <w:t>ballot itself.</w:t>
            </w:r>
          </w:p>
        </w:tc>
        <w:tc>
          <w:tcPr>
            <w:tcW w:w="1417" w:type="dxa"/>
            <w:vAlign w:val="center"/>
          </w:tcPr>
          <w:p w14:paraId="2CC592CE" w14:textId="77777777" w:rsidR="00B93C77" w:rsidRPr="006213BC" w:rsidRDefault="00B93C77" w:rsidP="00AA65C1">
            <w:pPr>
              <w:jc w:val="center"/>
              <w:rPr>
                <w:rFonts w:cs="Times New Roman"/>
                <w:szCs w:val="24"/>
              </w:rPr>
            </w:pPr>
            <w:r>
              <w:lastRenderedPageBreak/>
              <w:t>To update violations.</w:t>
            </w:r>
          </w:p>
        </w:tc>
        <w:tc>
          <w:tcPr>
            <w:tcW w:w="2552" w:type="dxa"/>
            <w:vAlign w:val="center"/>
          </w:tcPr>
          <w:p w14:paraId="329DA3F5" w14:textId="77777777" w:rsidR="00B93C77" w:rsidRPr="006213BC" w:rsidRDefault="00B93C77" w:rsidP="00AA65C1">
            <w:pPr>
              <w:rPr>
                <w:rFonts w:cs="Times New Roman"/>
                <w:szCs w:val="24"/>
              </w:rPr>
            </w:pPr>
            <w:r>
              <w:t xml:space="preserve">7.4 </w:t>
            </w:r>
            <w:r w:rsidRPr="00FF1705">
              <w:t>Candidates and members of referendum committees who violate these Bylaws or the</w:t>
            </w:r>
            <w:r>
              <w:t xml:space="preserve"> </w:t>
            </w:r>
            <w:r w:rsidRPr="00FF1705">
              <w:t>AUS Constitution shall be subject to the</w:t>
            </w:r>
            <w:r>
              <w:t xml:space="preserve"> penalties </w:t>
            </w:r>
            <w:r w:rsidRPr="00403896">
              <w:rPr>
                <w:i/>
              </w:rPr>
              <w:t>listed in Appendix A</w:t>
            </w:r>
            <w:r>
              <w:t>.</w:t>
            </w:r>
          </w:p>
        </w:tc>
      </w:tr>
      <w:tr w:rsidR="00B93C77" w14:paraId="5F2F1386" w14:textId="77777777" w:rsidTr="00AA65C1">
        <w:tc>
          <w:tcPr>
            <w:tcW w:w="4962" w:type="dxa"/>
            <w:vAlign w:val="center"/>
          </w:tcPr>
          <w:p w14:paraId="0FB9888A" w14:textId="77777777" w:rsidR="00B93C77" w:rsidRDefault="00B93C77" w:rsidP="00AA65C1">
            <w:pPr>
              <w:ind w:left="743" w:hanging="317"/>
              <w:jc w:val="both"/>
            </w:pPr>
          </w:p>
        </w:tc>
        <w:tc>
          <w:tcPr>
            <w:tcW w:w="1417" w:type="dxa"/>
            <w:vAlign w:val="center"/>
          </w:tcPr>
          <w:p w14:paraId="5BB7BDD8" w14:textId="77777777" w:rsidR="00B93C77" w:rsidRDefault="00B93C77" w:rsidP="00AA65C1">
            <w:pPr>
              <w:jc w:val="center"/>
            </w:pPr>
          </w:p>
        </w:tc>
        <w:tc>
          <w:tcPr>
            <w:tcW w:w="2552" w:type="dxa"/>
            <w:vAlign w:val="center"/>
          </w:tcPr>
          <w:p w14:paraId="32FAEBA6" w14:textId="77777777" w:rsidR="00B93C77" w:rsidRDefault="00B93C77" w:rsidP="00AA65C1">
            <w:pPr>
              <w:ind w:left="468" w:hanging="468"/>
            </w:pPr>
          </w:p>
        </w:tc>
      </w:tr>
    </w:tbl>
    <w:p w14:paraId="2C0CDBD0" w14:textId="77777777" w:rsidR="00B93C77" w:rsidRDefault="00B93C77" w:rsidP="00B93C77">
      <w:pPr>
        <w:rPr>
          <w:b/>
          <w:sz w:val="32"/>
          <w:u w:val="single"/>
        </w:rPr>
      </w:pPr>
    </w:p>
    <w:p w14:paraId="04599621" w14:textId="77777777" w:rsidR="00B93C77" w:rsidRDefault="00B93C77" w:rsidP="00B93C77">
      <w:pPr>
        <w:rPr>
          <w:b/>
          <w:sz w:val="32"/>
          <w:u w:val="single"/>
        </w:rPr>
      </w:pPr>
    </w:p>
    <w:p w14:paraId="7BE1221D" w14:textId="77777777" w:rsidR="00B93C77" w:rsidRDefault="00B93C77" w:rsidP="00B93C77">
      <w:pPr>
        <w:rPr>
          <w:b/>
          <w:sz w:val="32"/>
          <w:u w:val="single"/>
        </w:rPr>
      </w:pPr>
    </w:p>
    <w:p w14:paraId="06E6A03C" w14:textId="77777777" w:rsidR="00B93C77" w:rsidRDefault="00B93C77" w:rsidP="00B93C77">
      <w:pPr>
        <w:rPr>
          <w:b/>
          <w:sz w:val="32"/>
          <w:u w:val="single"/>
        </w:rPr>
      </w:pPr>
    </w:p>
    <w:p w14:paraId="589DCE46" w14:textId="77777777" w:rsidR="00B93C77" w:rsidRDefault="00B93C77" w:rsidP="00B93C77">
      <w:pPr>
        <w:rPr>
          <w:b/>
          <w:sz w:val="32"/>
          <w:u w:val="single"/>
        </w:rPr>
      </w:pPr>
    </w:p>
    <w:p w14:paraId="38FF4146" w14:textId="77777777" w:rsidR="00B93C77" w:rsidRDefault="00B93C77" w:rsidP="00B93C77">
      <w:pPr>
        <w:rPr>
          <w:b/>
          <w:sz w:val="32"/>
          <w:u w:val="single"/>
        </w:rPr>
      </w:pPr>
    </w:p>
    <w:p w14:paraId="3377FF36" w14:textId="77777777" w:rsidR="00B93C77" w:rsidRDefault="00B93C77" w:rsidP="00B93C77">
      <w:pPr>
        <w:rPr>
          <w:b/>
          <w:sz w:val="32"/>
          <w:u w:val="single"/>
        </w:rPr>
      </w:pPr>
    </w:p>
    <w:p w14:paraId="1D8679DC" w14:textId="77777777" w:rsidR="00B93C77" w:rsidRDefault="00B93C77" w:rsidP="00B93C77">
      <w:pPr>
        <w:rPr>
          <w:b/>
          <w:sz w:val="32"/>
          <w:u w:val="single"/>
        </w:rPr>
      </w:pPr>
    </w:p>
    <w:p w14:paraId="4AFDAC16" w14:textId="77777777" w:rsidR="00B93C77" w:rsidRDefault="00B93C77" w:rsidP="00B93C77">
      <w:pPr>
        <w:rPr>
          <w:b/>
          <w:sz w:val="32"/>
          <w:u w:val="single"/>
        </w:rPr>
      </w:pPr>
    </w:p>
    <w:p w14:paraId="00BFA68E" w14:textId="77777777" w:rsidR="00B93C77" w:rsidRDefault="00B93C77" w:rsidP="00B93C77">
      <w:pPr>
        <w:rPr>
          <w:b/>
          <w:sz w:val="32"/>
          <w:u w:val="single"/>
        </w:rPr>
      </w:pPr>
    </w:p>
    <w:p w14:paraId="536551E7" w14:textId="77777777" w:rsidR="00B93C77" w:rsidRDefault="00B93C77" w:rsidP="00B93C77">
      <w:pPr>
        <w:rPr>
          <w:b/>
          <w:sz w:val="32"/>
          <w:u w:val="single"/>
        </w:rPr>
      </w:pPr>
    </w:p>
    <w:p w14:paraId="7103ED39" w14:textId="77777777" w:rsidR="00B93C77" w:rsidRDefault="00B93C77" w:rsidP="00B93C77">
      <w:pPr>
        <w:rPr>
          <w:b/>
          <w:sz w:val="32"/>
          <w:u w:val="single"/>
        </w:rPr>
      </w:pPr>
    </w:p>
    <w:p w14:paraId="3EB09500" w14:textId="77777777" w:rsidR="00B93C77" w:rsidRDefault="00B93C77" w:rsidP="00B93C77">
      <w:pPr>
        <w:rPr>
          <w:b/>
          <w:sz w:val="32"/>
          <w:u w:val="single"/>
        </w:rPr>
      </w:pPr>
    </w:p>
    <w:p w14:paraId="1750ED0E" w14:textId="77777777" w:rsidR="00B93C77" w:rsidRDefault="00B93C77" w:rsidP="00B93C77">
      <w:pPr>
        <w:rPr>
          <w:b/>
          <w:sz w:val="32"/>
          <w:u w:val="single"/>
        </w:rPr>
      </w:pPr>
    </w:p>
    <w:p w14:paraId="16A2F393" w14:textId="77777777" w:rsidR="00B93C77" w:rsidRDefault="00B93C77" w:rsidP="00B93C77">
      <w:pPr>
        <w:rPr>
          <w:b/>
          <w:sz w:val="32"/>
          <w:u w:val="single"/>
        </w:rPr>
      </w:pPr>
    </w:p>
    <w:p w14:paraId="04671ECE" w14:textId="77777777" w:rsidR="00B93C77" w:rsidRDefault="00B93C77" w:rsidP="00B93C77">
      <w:pPr>
        <w:rPr>
          <w:b/>
          <w:sz w:val="32"/>
          <w:u w:val="single"/>
        </w:rPr>
      </w:pPr>
    </w:p>
    <w:p w14:paraId="0315747F" w14:textId="77777777" w:rsidR="00B93C77" w:rsidRDefault="00B93C77" w:rsidP="00B93C77">
      <w:pPr>
        <w:rPr>
          <w:b/>
          <w:sz w:val="32"/>
          <w:u w:val="single"/>
        </w:rPr>
      </w:pPr>
    </w:p>
    <w:p w14:paraId="6922CD54" w14:textId="77777777" w:rsidR="00B93C77" w:rsidRDefault="00B93C77" w:rsidP="00B93C77">
      <w:pPr>
        <w:rPr>
          <w:b/>
          <w:sz w:val="32"/>
          <w:u w:val="single"/>
        </w:rPr>
      </w:pPr>
    </w:p>
    <w:p w14:paraId="772BFB43" w14:textId="77777777" w:rsidR="00B93C77" w:rsidRDefault="00B93C77" w:rsidP="00B93C77">
      <w:pPr>
        <w:rPr>
          <w:b/>
          <w:sz w:val="32"/>
          <w:u w:val="single"/>
        </w:rPr>
      </w:pPr>
    </w:p>
    <w:p w14:paraId="6D5331D2" w14:textId="77777777" w:rsidR="00B93C77" w:rsidRDefault="00B93C77" w:rsidP="00B93C77">
      <w:pPr>
        <w:rPr>
          <w:b/>
          <w:sz w:val="32"/>
          <w:u w:val="single"/>
        </w:rPr>
      </w:pPr>
    </w:p>
    <w:p w14:paraId="2BAB487D" w14:textId="77777777" w:rsidR="00B93C77" w:rsidRDefault="00B93C77" w:rsidP="00B93C77">
      <w:pPr>
        <w:rPr>
          <w:b/>
          <w:sz w:val="32"/>
          <w:u w:val="single"/>
        </w:rPr>
      </w:pPr>
    </w:p>
    <w:p w14:paraId="6508BF58" w14:textId="77777777" w:rsidR="00B93C77" w:rsidRDefault="00B93C77" w:rsidP="00B93C77">
      <w:pPr>
        <w:rPr>
          <w:b/>
          <w:sz w:val="32"/>
          <w:u w:val="single"/>
        </w:rPr>
      </w:pPr>
    </w:p>
    <w:p w14:paraId="1BA18E4E" w14:textId="00CAF8C3" w:rsidR="00B93C77" w:rsidRDefault="00B93C77" w:rsidP="00B93C77">
      <w:pPr>
        <w:rPr>
          <w:b/>
          <w:sz w:val="32"/>
          <w:u w:val="single"/>
        </w:rPr>
      </w:pPr>
    </w:p>
    <w:p w14:paraId="05B5FBDA" w14:textId="318B97B7" w:rsidR="00B93C77" w:rsidRDefault="00B93C77" w:rsidP="00B93C77">
      <w:pPr>
        <w:rPr>
          <w:b/>
          <w:sz w:val="32"/>
          <w:u w:val="single"/>
        </w:rPr>
      </w:pPr>
    </w:p>
    <w:p w14:paraId="53480B53" w14:textId="0DE7406A" w:rsidR="00B93C77" w:rsidRDefault="00B93C77" w:rsidP="00B93C77">
      <w:pPr>
        <w:rPr>
          <w:b/>
          <w:sz w:val="32"/>
          <w:u w:val="single"/>
        </w:rPr>
      </w:pPr>
    </w:p>
    <w:p w14:paraId="7B9EE8CA" w14:textId="77777777" w:rsidR="00B93C77" w:rsidRDefault="00B93C77" w:rsidP="00B93C77">
      <w:pPr>
        <w:rPr>
          <w:b/>
          <w:sz w:val="32"/>
          <w:u w:val="single"/>
        </w:rPr>
      </w:pPr>
    </w:p>
    <w:p w14:paraId="1FDCF911" w14:textId="77777777" w:rsidR="00B93C77" w:rsidRDefault="00B93C77" w:rsidP="00B93C77">
      <w:pPr>
        <w:rPr>
          <w:b/>
          <w:sz w:val="32"/>
          <w:u w:val="single"/>
        </w:rPr>
      </w:pPr>
    </w:p>
    <w:p w14:paraId="7B4BB386" w14:textId="0F3C6DB0" w:rsidR="00B93C77" w:rsidRDefault="00B93C77" w:rsidP="00B93C77">
      <w:pPr>
        <w:rPr>
          <w:b/>
          <w:sz w:val="32"/>
          <w:u w:val="single"/>
        </w:rPr>
      </w:pPr>
    </w:p>
    <w:p w14:paraId="1C48BBA0" w14:textId="2D52B5EE" w:rsidR="0041181F" w:rsidRDefault="0041181F" w:rsidP="00B93C77">
      <w:pPr>
        <w:rPr>
          <w:b/>
          <w:sz w:val="32"/>
          <w:u w:val="single"/>
        </w:rPr>
      </w:pPr>
    </w:p>
    <w:p w14:paraId="591A25E7" w14:textId="77777777" w:rsidR="0041181F" w:rsidRDefault="0041181F" w:rsidP="00B93C77">
      <w:pPr>
        <w:rPr>
          <w:b/>
          <w:sz w:val="32"/>
          <w:u w:val="single"/>
        </w:rPr>
      </w:pPr>
    </w:p>
    <w:p w14:paraId="22331E48" w14:textId="77777777" w:rsidR="00B93C77" w:rsidRDefault="00B93C77" w:rsidP="00B93C77">
      <w:pPr>
        <w:rPr>
          <w:b/>
          <w:sz w:val="32"/>
          <w:u w:val="single"/>
        </w:rPr>
      </w:pPr>
    </w:p>
    <w:p w14:paraId="1E1D7AB6" w14:textId="77777777" w:rsidR="00B93C77" w:rsidRPr="00BE7695" w:rsidRDefault="00B93C77" w:rsidP="00B93C77">
      <w:pPr>
        <w:rPr>
          <w:b/>
          <w:sz w:val="32"/>
          <w:u w:val="single"/>
        </w:rPr>
      </w:pPr>
      <w:r w:rsidRPr="00BE7695">
        <w:rPr>
          <w:b/>
          <w:sz w:val="32"/>
          <w:u w:val="single"/>
        </w:rPr>
        <w:lastRenderedPageBreak/>
        <w:t xml:space="preserve">Departmental Electoral By-Laws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12"/>
        <w:gridCol w:w="1467"/>
        <w:gridCol w:w="2981"/>
      </w:tblGrid>
      <w:tr w:rsidR="00B93C77" w14:paraId="782ED179" w14:textId="77777777" w:rsidTr="00AA65C1">
        <w:tc>
          <w:tcPr>
            <w:tcW w:w="4912" w:type="dxa"/>
          </w:tcPr>
          <w:p w14:paraId="6BF967B0" w14:textId="77777777" w:rsidR="00B93C77" w:rsidRPr="00BE7695" w:rsidRDefault="00B93C77" w:rsidP="00AA65C1">
            <w:pPr>
              <w:jc w:val="center"/>
              <w:rPr>
                <w:sz w:val="28"/>
              </w:rPr>
            </w:pPr>
            <w:r w:rsidRPr="00BE7695">
              <w:rPr>
                <w:sz w:val="28"/>
              </w:rPr>
              <w:t>Clause to Change</w:t>
            </w:r>
          </w:p>
        </w:tc>
        <w:tc>
          <w:tcPr>
            <w:tcW w:w="1467" w:type="dxa"/>
          </w:tcPr>
          <w:p w14:paraId="5A0BC764" w14:textId="77777777" w:rsidR="00B93C77" w:rsidRPr="00BE7695" w:rsidRDefault="00B93C77" w:rsidP="00AA65C1">
            <w:pPr>
              <w:jc w:val="center"/>
              <w:rPr>
                <w:sz w:val="28"/>
              </w:rPr>
            </w:pPr>
            <w:r w:rsidRPr="00BE7695">
              <w:rPr>
                <w:sz w:val="28"/>
              </w:rPr>
              <w:t>Reason</w:t>
            </w:r>
          </w:p>
        </w:tc>
        <w:tc>
          <w:tcPr>
            <w:tcW w:w="2981" w:type="dxa"/>
          </w:tcPr>
          <w:p w14:paraId="10ED3C4B" w14:textId="77777777" w:rsidR="00B93C77" w:rsidRPr="00BE7695" w:rsidRDefault="00B93C77" w:rsidP="00AA65C1">
            <w:pPr>
              <w:jc w:val="center"/>
              <w:rPr>
                <w:sz w:val="28"/>
              </w:rPr>
            </w:pPr>
            <w:r w:rsidRPr="00BE7695">
              <w:rPr>
                <w:sz w:val="28"/>
              </w:rPr>
              <w:t>Amended Clause</w:t>
            </w:r>
          </w:p>
        </w:tc>
      </w:tr>
      <w:tr w:rsidR="00B93C77" w14:paraId="14C1085C" w14:textId="77777777" w:rsidTr="00AA65C1">
        <w:tc>
          <w:tcPr>
            <w:tcW w:w="4912" w:type="dxa"/>
            <w:vAlign w:val="center"/>
          </w:tcPr>
          <w:p w14:paraId="3727130E" w14:textId="77777777" w:rsidR="00B93C77" w:rsidRPr="006C77DA" w:rsidRDefault="00B93C77" w:rsidP="00AA65C1">
            <w:pPr>
              <w:ind w:left="319" w:hanging="319"/>
              <w:jc w:val="center"/>
            </w:pPr>
            <w:r>
              <w:t>ADD</w:t>
            </w:r>
          </w:p>
        </w:tc>
        <w:tc>
          <w:tcPr>
            <w:tcW w:w="1467" w:type="dxa"/>
            <w:vAlign w:val="center"/>
          </w:tcPr>
          <w:p w14:paraId="7112E2EA" w14:textId="77777777" w:rsidR="00B93C77" w:rsidRPr="006C77DA" w:rsidRDefault="00B93C77" w:rsidP="00AA65C1">
            <w:pPr>
              <w:jc w:val="center"/>
            </w:pPr>
            <w:r>
              <w:t>To ensure Elections AUS can add electors to the election system</w:t>
            </w:r>
          </w:p>
        </w:tc>
        <w:tc>
          <w:tcPr>
            <w:tcW w:w="2981" w:type="dxa"/>
            <w:vAlign w:val="center"/>
          </w:tcPr>
          <w:p w14:paraId="7C981B3F" w14:textId="77777777" w:rsidR="00B93C77" w:rsidRDefault="00B93C77" w:rsidP="00AA65C1"/>
          <w:p w14:paraId="725A43FC" w14:textId="77777777" w:rsidR="00B93C77" w:rsidRPr="00E8276D" w:rsidRDefault="00B93C77" w:rsidP="00AA65C1">
            <w:pPr>
              <w:pStyle w:val="NormalWeb"/>
              <w:spacing w:before="0" w:beforeAutospacing="0" w:after="0" w:afterAutospacing="0"/>
              <w:rPr>
                <w:sz w:val="28"/>
              </w:rPr>
            </w:pPr>
            <w:r w:rsidRPr="00E8276D">
              <w:rPr>
                <w:bCs/>
                <w:color w:val="000000"/>
              </w:rPr>
              <w:t>2.2</w:t>
            </w:r>
            <w:r>
              <w:rPr>
                <w:bCs/>
                <w:color w:val="000000"/>
              </w:rPr>
              <w:t xml:space="preserve"> </w:t>
            </w:r>
            <w:r w:rsidRPr="00E8276D">
              <w:rPr>
                <w:bCs/>
                <w:color w:val="000000"/>
              </w:rPr>
              <w:t xml:space="preserve">the AUS president must send the AUS departmental elector’s list to the CRO before October 1st for elections taking place in the fall semester and before February 1st for elections taking place in the winter semester. </w:t>
            </w:r>
          </w:p>
          <w:p w14:paraId="0BEEFD61" w14:textId="77777777" w:rsidR="00B93C77" w:rsidRDefault="00B93C77" w:rsidP="00AA65C1"/>
          <w:p w14:paraId="6A7B3C31" w14:textId="77777777" w:rsidR="00B93C77" w:rsidRPr="006C77DA" w:rsidRDefault="00B93C77" w:rsidP="00AA65C1">
            <w:pPr>
              <w:ind w:left="291" w:hanging="291"/>
            </w:pPr>
            <w:r>
              <w:t xml:space="preserve"> </w:t>
            </w:r>
          </w:p>
        </w:tc>
      </w:tr>
      <w:tr w:rsidR="00B93C77" w14:paraId="48E29574" w14:textId="77777777" w:rsidTr="00AA65C1">
        <w:tc>
          <w:tcPr>
            <w:tcW w:w="4912" w:type="dxa"/>
            <w:vAlign w:val="center"/>
          </w:tcPr>
          <w:p w14:paraId="4C6A5BC2" w14:textId="77777777" w:rsidR="00B93C77" w:rsidRDefault="00B93C77" w:rsidP="00AA65C1">
            <w:pPr>
              <w:jc w:val="center"/>
            </w:pPr>
            <w:r>
              <w:t>ADD</w:t>
            </w:r>
          </w:p>
        </w:tc>
        <w:tc>
          <w:tcPr>
            <w:tcW w:w="1467" w:type="dxa"/>
            <w:vAlign w:val="center"/>
          </w:tcPr>
          <w:p w14:paraId="274EED02" w14:textId="77777777" w:rsidR="00B93C77" w:rsidRDefault="00B93C77" w:rsidP="00AA65C1">
            <w:pPr>
              <w:jc w:val="center"/>
            </w:pPr>
            <w:r>
              <w:t>To ensure that all content and posts can be reviewed.</w:t>
            </w:r>
          </w:p>
        </w:tc>
        <w:tc>
          <w:tcPr>
            <w:tcW w:w="2981" w:type="dxa"/>
            <w:vAlign w:val="center"/>
          </w:tcPr>
          <w:p w14:paraId="19E71CCD" w14:textId="77777777" w:rsidR="00B93C77" w:rsidRPr="00E8276D" w:rsidRDefault="00B93C77" w:rsidP="00AA65C1">
            <w:pPr>
              <w:rPr>
                <w:rFonts w:cs="Times New Roman"/>
                <w:sz w:val="28"/>
              </w:rPr>
            </w:pPr>
            <w:r w:rsidRPr="00E8276D">
              <w:rPr>
                <w:rFonts w:cs="Times New Roman"/>
                <w:bCs/>
                <w:color w:val="000000"/>
              </w:rPr>
              <w:t>4.7.1 All candidates must invite the Elections AUS’ social media account to all groups and pages. Social media groups and pages are not included but not limited to Facebook, Twitter, and Instagram.</w:t>
            </w:r>
          </w:p>
          <w:p w14:paraId="5248AB5B" w14:textId="77777777" w:rsidR="00B93C77" w:rsidRDefault="00B93C77" w:rsidP="00AA65C1"/>
        </w:tc>
      </w:tr>
      <w:tr w:rsidR="00B93C77" w14:paraId="5925FDA9" w14:textId="77777777" w:rsidTr="00AA65C1">
        <w:tc>
          <w:tcPr>
            <w:tcW w:w="4912" w:type="dxa"/>
            <w:vAlign w:val="center"/>
          </w:tcPr>
          <w:p w14:paraId="378C6359" w14:textId="77777777" w:rsidR="00B93C77" w:rsidRDefault="00B93C77" w:rsidP="00AA65C1">
            <w:pPr>
              <w:jc w:val="center"/>
            </w:pPr>
            <w:r>
              <w:t>AMEND</w:t>
            </w:r>
          </w:p>
          <w:p w14:paraId="1FCC2FDD" w14:textId="77777777" w:rsidR="00B93C77" w:rsidRDefault="00B93C77" w:rsidP="00AA65C1">
            <w:pPr>
              <w:ind w:left="319" w:hanging="319"/>
            </w:pPr>
            <w:r>
              <w:t>6.4 Candidates who violate these Bylaws or the AUS Constitution shall be subject to the following penalties:</w:t>
            </w:r>
          </w:p>
          <w:p w14:paraId="775505A7" w14:textId="77777777" w:rsidR="00B93C77" w:rsidRDefault="00B93C77" w:rsidP="00AA65C1">
            <w:pPr>
              <w:ind w:left="602" w:hanging="319"/>
            </w:pPr>
            <w:proofErr w:type="spellStart"/>
            <w:r>
              <w:t>i</w:t>
            </w:r>
            <w:proofErr w:type="spellEnd"/>
            <w:r>
              <w:t>) Upon a first infraction, candidates shall be notified of their infraction.</w:t>
            </w:r>
          </w:p>
          <w:p w14:paraId="13C6C5BE" w14:textId="77777777" w:rsidR="00B93C77" w:rsidRDefault="00B93C77" w:rsidP="00AA65C1">
            <w:pPr>
              <w:ind w:left="602" w:hanging="319"/>
            </w:pPr>
            <w:r>
              <w:t>ii) Upon a second infraction, candidates shall be notified and further warned not to violate the AUS Electoral By-laws. Additionally, Elections AUS may choose to publicly censure the candidate.</w:t>
            </w:r>
          </w:p>
          <w:p w14:paraId="4B9CB70E" w14:textId="77777777" w:rsidR="00B93C77" w:rsidRDefault="00B93C77" w:rsidP="00AA65C1">
            <w:pPr>
              <w:jc w:val="center"/>
            </w:pPr>
            <w:r>
              <w:t>iii) Upon a third infraction, candidates shall be disqualified. If disqualification is deemed too severe a penalty, Elections AUS shall issue a public censure through the AUS listserv or through a note on the ballot itself.</w:t>
            </w:r>
          </w:p>
        </w:tc>
        <w:tc>
          <w:tcPr>
            <w:tcW w:w="1467" w:type="dxa"/>
            <w:vAlign w:val="center"/>
          </w:tcPr>
          <w:p w14:paraId="5627744B" w14:textId="77777777" w:rsidR="00B93C77" w:rsidRDefault="00B93C77" w:rsidP="00AA65C1">
            <w:pPr>
              <w:jc w:val="center"/>
            </w:pPr>
            <w:r>
              <w:t>To update violations.</w:t>
            </w:r>
          </w:p>
        </w:tc>
        <w:tc>
          <w:tcPr>
            <w:tcW w:w="2981" w:type="dxa"/>
            <w:vAlign w:val="center"/>
          </w:tcPr>
          <w:p w14:paraId="42A543C7" w14:textId="77777777" w:rsidR="00B93C77" w:rsidRDefault="00B93C77" w:rsidP="00AA65C1">
            <w:pPr>
              <w:ind w:left="291" w:hanging="291"/>
            </w:pPr>
            <w:r>
              <w:t xml:space="preserve">6.4 Candidates who violate these Bylaws or the AUS Constitution shall be subject to the penalties </w:t>
            </w:r>
            <w:r w:rsidRPr="00403896">
              <w:rPr>
                <w:i/>
              </w:rPr>
              <w:t>listed in Appendix A</w:t>
            </w:r>
            <w:r>
              <w:t>.</w:t>
            </w:r>
          </w:p>
        </w:tc>
      </w:tr>
      <w:tr w:rsidR="00B93C77" w14:paraId="75022197" w14:textId="77777777" w:rsidTr="00AA65C1">
        <w:tc>
          <w:tcPr>
            <w:tcW w:w="4912" w:type="dxa"/>
            <w:vAlign w:val="center"/>
          </w:tcPr>
          <w:p w14:paraId="21812A77" w14:textId="77777777" w:rsidR="00B93C77" w:rsidRDefault="00B93C77" w:rsidP="00AA65C1">
            <w:pPr>
              <w:ind w:left="602" w:hanging="319"/>
            </w:pPr>
          </w:p>
        </w:tc>
        <w:tc>
          <w:tcPr>
            <w:tcW w:w="1467" w:type="dxa"/>
            <w:vAlign w:val="center"/>
          </w:tcPr>
          <w:p w14:paraId="7346EA8C" w14:textId="77777777" w:rsidR="00B93C77" w:rsidRDefault="00B93C77" w:rsidP="00AA65C1">
            <w:pPr>
              <w:jc w:val="center"/>
            </w:pPr>
          </w:p>
        </w:tc>
        <w:tc>
          <w:tcPr>
            <w:tcW w:w="2981" w:type="dxa"/>
            <w:vAlign w:val="center"/>
          </w:tcPr>
          <w:p w14:paraId="02A0FC77" w14:textId="77777777" w:rsidR="00B93C77" w:rsidRDefault="00B93C77" w:rsidP="00AA65C1">
            <w:pPr>
              <w:ind w:left="291" w:hanging="291"/>
            </w:pPr>
          </w:p>
        </w:tc>
      </w:tr>
    </w:tbl>
    <w:p w14:paraId="6DCF9F2E" w14:textId="51AB3913" w:rsidR="00B93C77" w:rsidRDefault="00B93C77" w:rsidP="00B93C77"/>
    <w:p w14:paraId="30B95C47" w14:textId="5215E97B" w:rsidR="00B93C77" w:rsidRDefault="00B93C77" w:rsidP="00B93C77"/>
    <w:p w14:paraId="2DAAFDC9" w14:textId="13D6C34A" w:rsidR="00B93C77" w:rsidRDefault="00B93C77" w:rsidP="00B93C77"/>
    <w:p w14:paraId="310EBB5C" w14:textId="1D368B38" w:rsidR="00B93C77" w:rsidRDefault="00B93C77" w:rsidP="00B93C77"/>
    <w:p w14:paraId="5087B22B" w14:textId="77777777" w:rsidR="00B93C77" w:rsidRDefault="00B93C77" w:rsidP="00B93C77"/>
    <w:p w14:paraId="511AAC42" w14:textId="77777777" w:rsidR="00B93C77" w:rsidRDefault="00B93C77" w:rsidP="00B93C77"/>
    <w:p w14:paraId="074F4642" w14:textId="77777777" w:rsidR="00B93C77" w:rsidRDefault="00B93C77" w:rsidP="00B93C77">
      <w:pPr>
        <w:rPr>
          <w:b/>
          <w:sz w:val="32"/>
          <w:u w:val="single"/>
        </w:rPr>
      </w:pPr>
      <w:bookmarkStart w:id="0" w:name="_GoBack"/>
      <w:r>
        <w:rPr>
          <w:b/>
          <w:sz w:val="32"/>
          <w:u w:val="single"/>
        </w:rPr>
        <w:lastRenderedPageBreak/>
        <w:t xml:space="preserve">Sanctions &amp; </w:t>
      </w:r>
      <w:r w:rsidRPr="00843525">
        <w:rPr>
          <w:b/>
          <w:sz w:val="32"/>
          <w:u w:val="single"/>
        </w:rPr>
        <w:t>Demerit System (Appendix A)</w:t>
      </w:r>
    </w:p>
    <w:tbl>
      <w:tblPr>
        <w:tblStyle w:val="TableGrid"/>
        <w:tblW w:w="0" w:type="auto"/>
        <w:tblLook w:val="04A0" w:firstRow="1" w:lastRow="0" w:firstColumn="1" w:lastColumn="0" w:noHBand="0" w:noVBand="1"/>
      </w:tblPr>
      <w:tblGrid>
        <w:gridCol w:w="4531"/>
        <w:gridCol w:w="1843"/>
        <w:gridCol w:w="1826"/>
        <w:gridCol w:w="1150"/>
      </w:tblGrid>
      <w:tr w:rsidR="00B93C77" w:rsidRPr="00C54B4B" w14:paraId="1F875A0A" w14:textId="77777777" w:rsidTr="00AA65C1">
        <w:tc>
          <w:tcPr>
            <w:tcW w:w="4531" w:type="dxa"/>
          </w:tcPr>
          <w:p w14:paraId="07470322" w14:textId="77777777" w:rsidR="00B93C77" w:rsidRPr="00041833" w:rsidRDefault="00B93C77" w:rsidP="00AA65C1">
            <w:pPr>
              <w:jc w:val="center"/>
              <w:rPr>
                <w:b/>
              </w:rPr>
            </w:pPr>
            <w:r w:rsidRPr="00041833">
              <w:rPr>
                <w:b/>
              </w:rPr>
              <w:t>Infraction</w:t>
            </w:r>
          </w:p>
        </w:tc>
        <w:tc>
          <w:tcPr>
            <w:tcW w:w="1843" w:type="dxa"/>
          </w:tcPr>
          <w:p w14:paraId="4A4FE8D2" w14:textId="77777777" w:rsidR="00B93C77" w:rsidRPr="00041833" w:rsidRDefault="00B93C77" w:rsidP="00AA65C1">
            <w:pPr>
              <w:jc w:val="center"/>
              <w:rPr>
                <w:b/>
              </w:rPr>
            </w:pPr>
            <w:r w:rsidRPr="00041833">
              <w:rPr>
                <w:b/>
              </w:rPr>
              <w:t>Minimum Sanctions</w:t>
            </w:r>
          </w:p>
        </w:tc>
        <w:tc>
          <w:tcPr>
            <w:tcW w:w="1826" w:type="dxa"/>
          </w:tcPr>
          <w:p w14:paraId="76A3A657" w14:textId="77777777" w:rsidR="00B93C77" w:rsidRPr="00041833" w:rsidRDefault="00B93C77" w:rsidP="00AA65C1">
            <w:pPr>
              <w:jc w:val="center"/>
              <w:rPr>
                <w:b/>
              </w:rPr>
            </w:pPr>
            <w:r w:rsidRPr="00041833">
              <w:rPr>
                <w:b/>
              </w:rPr>
              <w:t>Maximum Sanctions</w:t>
            </w:r>
          </w:p>
        </w:tc>
        <w:tc>
          <w:tcPr>
            <w:tcW w:w="1150" w:type="dxa"/>
          </w:tcPr>
          <w:p w14:paraId="7F314094" w14:textId="77777777" w:rsidR="00B93C77" w:rsidRPr="00041833" w:rsidRDefault="00B93C77" w:rsidP="00AA65C1">
            <w:pPr>
              <w:jc w:val="center"/>
              <w:rPr>
                <w:b/>
              </w:rPr>
            </w:pPr>
            <w:r w:rsidRPr="00041833">
              <w:rPr>
                <w:b/>
              </w:rPr>
              <w:t>Demerits</w:t>
            </w:r>
          </w:p>
        </w:tc>
      </w:tr>
      <w:tr w:rsidR="00B93C77" w:rsidRPr="00C54B4B" w14:paraId="76506637" w14:textId="77777777" w:rsidTr="00AA65C1">
        <w:tc>
          <w:tcPr>
            <w:tcW w:w="4531" w:type="dxa"/>
            <w:vAlign w:val="center"/>
          </w:tcPr>
          <w:p w14:paraId="2695F73E" w14:textId="77777777" w:rsidR="00B93C77" w:rsidRPr="00C54B4B" w:rsidRDefault="00B93C77" w:rsidP="00AA65C1">
            <w:r>
              <w:t>Posting over another candidate’s campaign material.</w:t>
            </w:r>
          </w:p>
        </w:tc>
        <w:tc>
          <w:tcPr>
            <w:tcW w:w="3669" w:type="dxa"/>
            <w:gridSpan w:val="2"/>
            <w:vAlign w:val="center"/>
          </w:tcPr>
          <w:p w14:paraId="623AD58C" w14:textId="77777777" w:rsidR="00B93C77" w:rsidRPr="00C54B4B" w:rsidRDefault="00B93C77" w:rsidP="00AA65C1">
            <w:pPr>
              <w:jc w:val="center"/>
            </w:pPr>
            <w:r>
              <w:t>N/A</w:t>
            </w:r>
          </w:p>
        </w:tc>
        <w:tc>
          <w:tcPr>
            <w:tcW w:w="1150" w:type="dxa"/>
            <w:vAlign w:val="center"/>
          </w:tcPr>
          <w:p w14:paraId="061F3567" w14:textId="77777777" w:rsidR="00B93C77" w:rsidRPr="00C54B4B" w:rsidRDefault="00B93C77" w:rsidP="00AA65C1">
            <w:pPr>
              <w:jc w:val="center"/>
            </w:pPr>
            <w:r>
              <w:t>4-5</w:t>
            </w:r>
          </w:p>
        </w:tc>
      </w:tr>
      <w:tr w:rsidR="00B93C77" w:rsidRPr="00C54B4B" w14:paraId="5AF6D5A3" w14:textId="77777777" w:rsidTr="00AA65C1">
        <w:tc>
          <w:tcPr>
            <w:tcW w:w="4531" w:type="dxa"/>
            <w:vAlign w:val="center"/>
          </w:tcPr>
          <w:p w14:paraId="056E35DC" w14:textId="77777777" w:rsidR="00B93C77" w:rsidRDefault="00B93C77" w:rsidP="00AA65C1">
            <w:r>
              <w:t>Misuse of an elected or appointed position*</w:t>
            </w:r>
          </w:p>
          <w:p w14:paraId="7014DF5C" w14:textId="77777777" w:rsidR="00B93C77" w:rsidRPr="00C54B4B" w:rsidRDefault="00B93C77" w:rsidP="00AA65C1">
            <w:pPr>
              <w:ind w:left="318"/>
            </w:pPr>
            <w:r>
              <w:t>(incl. moderator positions of social media groups)</w:t>
            </w:r>
          </w:p>
        </w:tc>
        <w:tc>
          <w:tcPr>
            <w:tcW w:w="1843" w:type="dxa"/>
            <w:vAlign w:val="center"/>
          </w:tcPr>
          <w:p w14:paraId="6BC9AD3A" w14:textId="77777777" w:rsidR="00B93C77" w:rsidRPr="00C54B4B" w:rsidRDefault="00B93C77" w:rsidP="00AA65C1">
            <w:pPr>
              <w:jc w:val="center"/>
            </w:pPr>
            <w:r>
              <w:t>Public Announcement</w:t>
            </w:r>
          </w:p>
        </w:tc>
        <w:tc>
          <w:tcPr>
            <w:tcW w:w="1826" w:type="dxa"/>
            <w:vAlign w:val="center"/>
          </w:tcPr>
          <w:p w14:paraId="33077DFC" w14:textId="77777777" w:rsidR="00B93C77" w:rsidRPr="00C54B4B" w:rsidRDefault="00B93C77" w:rsidP="00AA65C1">
            <w:pPr>
              <w:jc w:val="center"/>
            </w:pPr>
            <w:r>
              <w:t>Disqualification</w:t>
            </w:r>
          </w:p>
        </w:tc>
        <w:tc>
          <w:tcPr>
            <w:tcW w:w="1150" w:type="dxa"/>
            <w:vAlign w:val="center"/>
          </w:tcPr>
          <w:p w14:paraId="41790663" w14:textId="77777777" w:rsidR="00B93C77" w:rsidRPr="00C54B4B" w:rsidRDefault="00B93C77" w:rsidP="00AA65C1">
            <w:pPr>
              <w:jc w:val="center"/>
            </w:pPr>
            <w:r>
              <w:t>12-18</w:t>
            </w:r>
          </w:p>
        </w:tc>
      </w:tr>
      <w:tr w:rsidR="00B93C77" w:rsidRPr="00C54B4B" w14:paraId="556192A8" w14:textId="77777777" w:rsidTr="00AA65C1">
        <w:tc>
          <w:tcPr>
            <w:tcW w:w="4531" w:type="dxa"/>
            <w:vAlign w:val="center"/>
          </w:tcPr>
          <w:p w14:paraId="4A6EA79B" w14:textId="77777777" w:rsidR="00B93C77" w:rsidRPr="003476F4" w:rsidRDefault="00B93C77" w:rsidP="00AA65C1">
            <w:pPr>
              <w:rPr>
                <w:rFonts w:cs="Times New Roman"/>
                <w:szCs w:val="24"/>
              </w:rPr>
            </w:pPr>
            <w:proofErr w:type="spellStart"/>
            <w:r w:rsidRPr="003476F4">
              <w:rPr>
                <w:rFonts w:cs="Times New Roman"/>
                <w:szCs w:val="24"/>
              </w:rPr>
              <w:t>Postering</w:t>
            </w:r>
            <w:proofErr w:type="spellEnd"/>
            <w:r w:rsidRPr="003476F4">
              <w:rPr>
                <w:rFonts w:cs="Times New Roman"/>
                <w:szCs w:val="24"/>
              </w:rPr>
              <w:t xml:space="preserve"> in a restricted area</w:t>
            </w:r>
            <w:r w:rsidRPr="003476F4">
              <w:rPr>
                <w:rFonts w:cs="Times New Roman"/>
                <w:color w:val="000000"/>
                <w:szCs w:val="24"/>
              </w:rPr>
              <w:t xml:space="preserve"> /</w:t>
            </w:r>
            <w:r w:rsidRPr="003476F4">
              <w:rPr>
                <w:rFonts w:cs="Times New Roman"/>
                <w:bCs/>
                <w:color w:val="000000"/>
                <w:szCs w:val="24"/>
              </w:rPr>
              <w:t xml:space="preserve">unauthorized </w:t>
            </w:r>
            <w:proofErr w:type="spellStart"/>
            <w:r w:rsidRPr="003476F4">
              <w:rPr>
                <w:rFonts w:cs="Times New Roman"/>
                <w:bCs/>
                <w:color w:val="000000"/>
                <w:szCs w:val="24"/>
              </w:rPr>
              <w:t>postering</w:t>
            </w:r>
            <w:proofErr w:type="spellEnd"/>
            <w:r w:rsidRPr="003476F4">
              <w:rPr>
                <w:rFonts w:cs="Times New Roman"/>
                <w:bCs/>
                <w:color w:val="000000"/>
                <w:szCs w:val="24"/>
              </w:rPr>
              <w:t xml:space="preserve"> </w:t>
            </w:r>
          </w:p>
        </w:tc>
        <w:tc>
          <w:tcPr>
            <w:tcW w:w="3669" w:type="dxa"/>
            <w:gridSpan w:val="2"/>
          </w:tcPr>
          <w:p w14:paraId="1220B389" w14:textId="77777777" w:rsidR="00B93C77" w:rsidRPr="00C54B4B" w:rsidRDefault="00B93C77" w:rsidP="00AA65C1">
            <w:pPr>
              <w:jc w:val="center"/>
            </w:pPr>
            <w:r>
              <w:t>N/A</w:t>
            </w:r>
          </w:p>
        </w:tc>
        <w:tc>
          <w:tcPr>
            <w:tcW w:w="1150" w:type="dxa"/>
            <w:vAlign w:val="center"/>
          </w:tcPr>
          <w:p w14:paraId="0B945A87" w14:textId="77777777" w:rsidR="00B93C77" w:rsidRPr="00C54B4B" w:rsidRDefault="00B93C77" w:rsidP="00AA65C1">
            <w:pPr>
              <w:jc w:val="center"/>
            </w:pPr>
            <w:r>
              <w:t>2-4</w:t>
            </w:r>
          </w:p>
        </w:tc>
      </w:tr>
      <w:tr w:rsidR="00B93C77" w:rsidRPr="00C54B4B" w14:paraId="281EE298" w14:textId="77777777" w:rsidTr="00AA65C1">
        <w:tc>
          <w:tcPr>
            <w:tcW w:w="4531" w:type="dxa"/>
            <w:vAlign w:val="center"/>
          </w:tcPr>
          <w:p w14:paraId="1B4417EB" w14:textId="77777777" w:rsidR="00B93C77" w:rsidRPr="00C54B4B" w:rsidRDefault="00B93C77" w:rsidP="00AA65C1">
            <w:pPr>
              <w:ind w:left="318" w:hanging="318"/>
            </w:pPr>
            <w:r>
              <w:t>Unauthorized Campaigning*</w:t>
            </w:r>
            <w:r>
              <w:br/>
              <w:t xml:space="preserve">(incl. without Professor’s permission / unauthorized publicity thru emails, social media, etc. / falsification of endorsement / campaigning in unauthorized and restricted </w:t>
            </w:r>
            <w:proofErr w:type="gramStart"/>
            <w:r>
              <w:t>areas )</w:t>
            </w:r>
            <w:proofErr w:type="gramEnd"/>
          </w:p>
        </w:tc>
        <w:tc>
          <w:tcPr>
            <w:tcW w:w="1843" w:type="dxa"/>
            <w:vAlign w:val="center"/>
          </w:tcPr>
          <w:p w14:paraId="1E564088" w14:textId="77777777" w:rsidR="00B93C77" w:rsidRPr="00C54B4B" w:rsidRDefault="00B93C77" w:rsidP="00AA65C1">
            <w:pPr>
              <w:jc w:val="center"/>
            </w:pPr>
            <w:r>
              <w:t>Demerit Points</w:t>
            </w:r>
          </w:p>
        </w:tc>
        <w:tc>
          <w:tcPr>
            <w:tcW w:w="1826" w:type="dxa"/>
            <w:vAlign w:val="center"/>
          </w:tcPr>
          <w:p w14:paraId="6DF650AF" w14:textId="77777777" w:rsidR="00B93C77" w:rsidRPr="00C54B4B" w:rsidRDefault="00B93C77" w:rsidP="00AA65C1">
            <w:pPr>
              <w:jc w:val="center"/>
            </w:pPr>
            <w:r>
              <w:t>Disqualification</w:t>
            </w:r>
          </w:p>
        </w:tc>
        <w:tc>
          <w:tcPr>
            <w:tcW w:w="1150" w:type="dxa"/>
            <w:vAlign w:val="center"/>
          </w:tcPr>
          <w:p w14:paraId="1D823B05" w14:textId="77777777" w:rsidR="00B93C77" w:rsidRPr="00C54B4B" w:rsidRDefault="00B93C77" w:rsidP="00AA65C1">
            <w:pPr>
              <w:jc w:val="center"/>
            </w:pPr>
            <w:r>
              <w:t>6-18</w:t>
            </w:r>
          </w:p>
        </w:tc>
      </w:tr>
      <w:tr w:rsidR="00B93C77" w:rsidRPr="00C54B4B" w14:paraId="2BB59411" w14:textId="77777777" w:rsidTr="00AA65C1">
        <w:tc>
          <w:tcPr>
            <w:tcW w:w="4531" w:type="dxa"/>
            <w:vAlign w:val="center"/>
          </w:tcPr>
          <w:p w14:paraId="43E7A867" w14:textId="77777777" w:rsidR="00B93C77" w:rsidRPr="00C54B4B" w:rsidRDefault="00B93C77" w:rsidP="00AA65C1">
            <w:r>
              <w:t>Pre-Campaigning*</w:t>
            </w:r>
          </w:p>
        </w:tc>
        <w:tc>
          <w:tcPr>
            <w:tcW w:w="1843" w:type="dxa"/>
            <w:vAlign w:val="center"/>
          </w:tcPr>
          <w:p w14:paraId="29344053" w14:textId="77777777" w:rsidR="00B93C77" w:rsidRPr="00C54B4B" w:rsidRDefault="00B93C77" w:rsidP="00AA65C1">
            <w:pPr>
              <w:jc w:val="center"/>
            </w:pPr>
            <w:r>
              <w:t>Demerit Points</w:t>
            </w:r>
          </w:p>
        </w:tc>
        <w:tc>
          <w:tcPr>
            <w:tcW w:w="1826" w:type="dxa"/>
          </w:tcPr>
          <w:p w14:paraId="54947FE0" w14:textId="77777777" w:rsidR="00B93C77" w:rsidRPr="00C54B4B" w:rsidRDefault="00B93C77" w:rsidP="00AA65C1">
            <w:pPr>
              <w:jc w:val="center"/>
            </w:pPr>
            <w:r>
              <w:t>Public Announcement</w:t>
            </w:r>
          </w:p>
        </w:tc>
        <w:tc>
          <w:tcPr>
            <w:tcW w:w="1150" w:type="dxa"/>
            <w:vAlign w:val="center"/>
          </w:tcPr>
          <w:p w14:paraId="5FFA9867" w14:textId="77777777" w:rsidR="00B93C77" w:rsidRPr="00C54B4B" w:rsidRDefault="00B93C77" w:rsidP="00AA65C1">
            <w:pPr>
              <w:jc w:val="center"/>
            </w:pPr>
            <w:r>
              <w:t>4-12</w:t>
            </w:r>
          </w:p>
        </w:tc>
      </w:tr>
      <w:tr w:rsidR="00B93C77" w:rsidRPr="00C54B4B" w14:paraId="3870BC16" w14:textId="77777777" w:rsidTr="00AA65C1">
        <w:tc>
          <w:tcPr>
            <w:tcW w:w="4531" w:type="dxa"/>
            <w:vAlign w:val="center"/>
          </w:tcPr>
          <w:p w14:paraId="6FFE122F" w14:textId="77777777" w:rsidR="00B93C77" w:rsidRDefault="00B93C77" w:rsidP="00AA65C1">
            <w:r>
              <w:t>Negative Campaigning*</w:t>
            </w:r>
          </w:p>
        </w:tc>
        <w:tc>
          <w:tcPr>
            <w:tcW w:w="1843" w:type="dxa"/>
          </w:tcPr>
          <w:p w14:paraId="010C9641" w14:textId="77777777" w:rsidR="00B93C77" w:rsidRPr="00C54B4B" w:rsidRDefault="00B93C77" w:rsidP="00AA65C1">
            <w:pPr>
              <w:jc w:val="center"/>
            </w:pPr>
            <w:r>
              <w:t>Campaign Suspension</w:t>
            </w:r>
          </w:p>
        </w:tc>
        <w:tc>
          <w:tcPr>
            <w:tcW w:w="1826" w:type="dxa"/>
            <w:vAlign w:val="center"/>
          </w:tcPr>
          <w:p w14:paraId="5AECF4C8" w14:textId="77777777" w:rsidR="00B93C77" w:rsidRDefault="00B93C77" w:rsidP="00AA65C1">
            <w:pPr>
              <w:jc w:val="center"/>
            </w:pPr>
            <w:r>
              <w:t>Disqualification</w:t>
            </w:r>
          </w:p>
        </w:tc>
        <w:tc>
          <w:tcPr>
            <w:tcW w:w="1150" w:type="dxa"/>
            <w:vAlign w:val="center"/>
          </w:tcPr>
          <w:p w14:paraId="4F778D33" w14:textId="4B5F2789" w:rsidR="00B93C77" w:rsidRDefault="00E97155" w:rsidP="00AA65C1">
            <w:pPr>
              <w:jc w:val="center"/>
            </w:pPr>
            <w:r>
              <w:t>13</w:t>
            </w:r>
            <w:r w:rsidR="00B93C77">
              <w:t>-18</w:t>
            </w:r>
          </w:p>
        </w:tc>
      </w:tr>
      <w:tr w:rsidR="00B93C77" w:rsidRPr="00C54B4B" w14:paraId="39C29A28" w14:textId="77777777" w:rsidTr="00AA65C1">
        <w:tc>
          <w:tcPr>
            <w:tcW w:w="4531" w:type="dxa"/>
            <w:vAlign w:val="center"/>
          </w:tcPr>
          <w:p w14:paraId="57EC7AAC" w14:textId="77777777" w:rsidR="00B93C77" w:rsidRPr="003476F4" w:rsidRDefault="00B93C77" w:rsidP="00AA65C1">
            <w:pPr>
              <w:rPr>
                <w:rFonts w:cs="Times New Roman"/>
                <w:sz w:val="28"/>
              </w:rPr>
            </w:pPr>
            <w:r w:rsidRPr="003476F4">
              <w:rPr>
                <w:rFonts w:cs="Times New Roman"/>
                <w:color w:val="000000"/>
              </w:rPr>
              <w:t xml:space="preserve">Inhibiting their candidates </w:t>
            </w:r>
            <w:r w:rsidRPr="003476F4">
              <w:rPr>
                <w:rFonts w:cs="Times New Roman"/>
                <w:bCs/>
                <w:color w:val="000000"/>
              </w:rPr>
              <w:t>(preventing other candidates from running a campaign including but is not limited to engaging in deception or misinformation)</w:t>
            </w:r>
          </w:p>
          <w:p w14:paraId="262AFACB" w14:textId="77777777" w:rsidR="00B93C77" w:rsidRDefault="00B93C77" w:rsidP="00AA65C1"/>
        </w:tc>
        <w:tc>
          <w:tcPr>
            <w:tcW w:w="1843" w:type="dxa"/>
          </w:tcPr>
          <w:p w14:paraId="59E3FD36" w14:textId="77777777" w:rsidR="00B93C77" w:rsidRPr="00C54B4B" w:rsidRDefault="00B93C77" w:rsidP="00AA65C1">
            <w:pPr>
              <w:jc w:val="center"/>
            </w:pPr>
            <w:r>
              <w:t>Public Announcement</w:t>
            </w:r>
          </w:p>
        </w:tc>
        <w:tc>
          <w:tcPr>
            <w:tcW w:w="1826" w:type="dxa"/>
            <w:vAlign w:val="center"/>
          </w:tcPr>
          <w:p w14:paraId="1A75D4B0" w14:textId="77777777" w:rsidR="00B93C77" w:rsidRDefault="00B93C77" w:rsidP="00AA65C1">
            <w:pPr>
              <w:jc w:val="center"/>
            </w:pPr>
            <w:r>
              <w:t>Disqualification</w:t>
            </w:r>
          </w:p>
        </w:tc>
        <w:tc>
          <w:tcPr>
            <w:tcW w:w="1150" w:type="dxa"/>
            <w:vAlign w:val="center"/>
          </w:tcPr>
          <w:p w14:paraId="356D3623" w14:textId="77777777" w:rsidR="00B93C77" w:rsidRDefault="00B93C77" w:rsidP="00AA65C1">
            <w:pPr>
              <w:jc w:val="center"/>
            </w:pPr>
            <w:r>
              <w:t>12-18</w:t>
            </w:r>
          </w:p>
        </w:tc>
      </w:tr>
      <w:tr w:rsidR="00B93C77" w:rsidRPr="00C54B4B" w14:paraId="245B04B5" w14:textId="77777777" w:rsidTr="00AA65C1">
        <w:tc>
          <w:tcPr>
            <w:tcW w:w="4531" w:type="dxa"/>
            <w:vAlign w:val="center"/>
          </w:tcPr>
          <w:p w14:paraId="79A0C845" w14:textId="77777777" w:rsidR="00B93C77" w:rsidRDefault="00B93C77" w:rsidP="00AA65C1">
            <w:r>
              <w:t>Engaging External Support*</w:t>
            </w:r>
          </w:p>
        </w:tc>
        <w:tc>
          <w:tcPr>
            <w:tcW w:w="1843" w:type="dxa"/>
          </w:tcPr>
          <w:p w14:paraId="282FF3CE" w14:textId="77777777" w:rsidR="00B93C77" w:rsidRPr="00C54B4B" w:rsidRDefault="00B93C77" w:rsidP="00AA65C1">
            <w:pPr>
              <w:jc w:val="center"/>
            </w:pPr>
            <w:r>
              <w:t>Campaign Suspension</w:t>
            </w:r>
          </w:p>
        </w:tc>
        <w:tc>
          <w:tcPr>
            <w:tcW w:w="1826" w:type="dxa"/>
            <w:vAlign w:val="center"/>
          </w:tcPr>
          <w:p w14:paraId="52A8FFAD" w14:textId="77777777" w:rsidR="00B93C77" w:rsidRDefault="00B93C77" w:rsidP="00AA65C1">
            <w:pPr>
              <w:jc w:val="center"/>
            </w:pPr>
            <w:r>
              <w:t>Disqualification</w:t>
            </w:r>
          </w:p>
        </w:tc>
        <w:tc>
          <w:tcPr>
            <w:tcW w:w="1150" w:type="dxa"/>
            <w:vAlign w:val="center"/>
          </w:tcPr>
          <w:p w14:paraId="38656185" w14:textId="77777777" w:rsidR="00B93C77" w:rsidRDefault="00B93C77" w:rsidP="00AA65C1">
            <w:pPr>
              <w:jc w:val="center"/>
            </w:pPr>
            <w:r>
              <w:t>13-18</w:t>
            </w:r>
          </w:p>
        </w:tc>
      </w:tr>
      <w:tr w:rsidR="00B93C77" w:rsidRPr="00C54B4B" w14:paraId="54338999" w14:textId="77777777" w:rsidTr="00AA65C1">
        <w:tc>
          <w:tcPr>
            <w:tcW w:w="4531" w:type="dxa"/>
            <w:vAlign w:val="center"/>
          </w:tcPr>
          <w:p w14:paraId="52D061FA" w14:textId="77777777" w:rsidR="00B93C77" w:rsidRDefault="00B93C77" w:rsidP="00AA65C1">
            <w:r>
              <w:t>Spending over given budget</w:t>
            </w:r>
          </w:p>
        </w:tc>
        <w:tc>
          <w:tcPr>
            <w:tcW w:w="1843" w:type="dxa"/>
          </w:tcPr>
          <w:p w14:paraId="1F4BA5F0" w14:textId="77777777" w:rsidR="00B93C77" w:rsidRPr="00C54B4B" w:rsidRDefault="00B93C77" w:rsidP="00AA65C1">
            <w:pPr>
              <w:jc w:val="center"/>
            </w:pPr>
            <w:r>
              <w:t>Public Announcement</w:t>
            </w:r>
          </w:p>
        </w:tc>
        <w:tc>
          <w:tcPr>
            <w:tcW w:w="1826" w:type="dxa"/>
            <w:vAlign w:val="center"/>
          </w:tcPr>
          <w:p w14:paraId="3429B42A" w14:textId="77777777" w:rsidR="00B93C77" w:rsidRDefault="00B93C77" w:rsidP="00AA65C1">
            <w:pPr>
              <w:jc w:val="center"/>
            </w:pPr>
            <w:r>
              <w:t>Disqualification</w:t>
            </w:r>
          </w:p>
        </w:tc>
        <w:tc>
          <w:tcPr>
            <w:tcW w:w="1150" w:type="dxa"/>
            <w:vAlign w:val="center"/>
          </w:tcPr>
          <w:p w14:paraId="3EF19024" w14:textId="77777777" w:rsidR="00B93C77" w:rsidRDefault="00B93C77" w:rsidP="00AA65C1">
            <w:pPr>
              <w:jc w:val="center"/>
            </w:pPr>
            <w:r>
              <w:t>12-18</w:t>
            </w:r>
          </w:p>
        </w:tc>
      </w:tr>
      <w:tr w:rsidR="00B93C77" w:rsidRPr="00C54B4B" w14:paraId="68694A34" w14:textId="77777777" w:rsidTr="00AA65C1">
        <w:tc>
          <w:tcPr>
            <w:tcW w:w="4531" w:type="dxa"/>
            <w:vAlign w:val="center"/>
          </w:tcPr>
          <w:p w14:paraId="58328839" w14:textId="77777777" w:rsidR="00B93C77" w:rsidRDefault="00B93C77" w:rsidP="00AA65C1">
            <w:r>
              <w:t>Deception of election authorities</w:t>
            </w:r>
          </w:p>
        </w:tc>
        <w:tc>
          <w:tcPr>
            <w:tcW w:w="1843" w:type="dxa"/>
            <w:tcBorders>
              <w:bottom w:val="single" w:sz="4" w:space="0" w:color="auto"/>
            </w:tcBorders>
          </w:tcPr>
          <w:p w14:paraId="25A0E427" w14:textId="77777777" w:rsidR="00B93C77" w:rsidRDefault="00B93C77" w:rsidP="00AA65C1">
            <w:pPr>
              <w:jc w:val="center"/>
            </w:pPr>
            <w:r>
              <w:t>Campaign Suspension</w:t>
            </w:r>
          </w:p>
        </w:tc>
        <w:tc>
          <w:tcPr>
            <w:tcW w:w="1826" w:type="dxa"/>
            <w:tcBorders>
              <w:bottom w:val="single" w:sz="4" w:space="0" w:color="auto"/>
            </w:tcBorders>
            <w:vAlign w:val="center"/>
          </w:tcPr>
          <w:p w14:paraId="285D5FCC" w14:textId="77777777" w:rsidR="00B93C77" w:rsidRDefault="00B93C77" w:rsidP="00AA65C1">
            <w:pPr>
              <w:jc w:val="center"/>
            </w:pPr>
            <w:r>
              <w:t>Disqualification</w:t>
            </w:r>
          </w:p>
        </w:tc>
        <w:tc>
          <w:tcPr>
            <w:tcW w:w="1150" w:type="dxa"/>
            <w:tcBorders>
              <w:bottom w:val="single" w:sz="4" w:space="0" w:color="auto"/>
            </w:tcBorders>
            <w:vAlign w:val="center"/>
          </w:tcPr>
          <w:p w14:paraId="2130CE5B" w14:textId="77777777" w:rsidR="00B93C77" w:rsidRDefault="00B93C77" w:rsidP="00AA65C1">
            <w:pPr>
              <w:jc w:val="center"/>
            </w:pPr>
            <w:r>
              <w:t>13-18</w:t>
            </w:r>
          </w:p>
        </w:tc>
      </w:tr>
      <w:tr w:rsidR="00B93C77" w:rsidRPr="00C54B4B" w14:paraId="4FBC4AC9" w14:textId="77777777" w:rsidTr="00AA65C1">
        <w:tc>
          <w:tcPr>
            <w:tcW w:w="4531" w:type="dxa"/>
            <w:tcBorders>
              <w:right w:val="single" w:sz="4" w:space="0" w:color="auto"/>
            </w:tcBorders>
            <w:vAlign w:val="center"/>
          </w:tcPr>
          <w:p w14:paraId="2A50A23B" w14:textId="77777777" w:rsidR="00B93C77" w:rsidRDefault="00B93C77" w:rsidP="00AA65C1">
            <w:r>
              <w:t>Bribery (attempted or successful)</w:t>
            </w:r>
          </w:p>
        </w:tc>
        <w:tc>
          <w:tcPr>
            <w:tcW w:w="1843" w:type="dxa"/>
            <w:tcBorders>
              <w:top w:val="single" w:sz="4" w:space="0" w:color="auto"/>
              <w:left w:val="single" w:sz="4" w:space="0" w:color="auto"/>
              <w:bottom w:val="single" w:sz="4" w:space="0" w:color="auto"/>
              <w:right w:val="single" w:sz="4" w:space="0" w:color="auto"/>
            </w:tcBorders>
          </w:tcPr>
          <w:p w14:paraId="726C7624" w14:textId="77777777" w:rsidR="00B93C77" w:rsidRDefault="00B93C77" w:rsidP="00AA65C1">
            <w:pPr>
              <w:jc w:val="center"/>
            </w:pPr>
            <w:r>
              <w:t>Campaign Suspension</w:t>
            </w:r>
          </w:p>
        </w:tc>
        <w:tc>
          <w:tcPr>
            <w:tcW w:w="1826" w:type="dxa"/>
            <w:tcBorders>
              <w:top w:val="single" w:sz="4" w:space="0" w:color="auto"/>
              <w:left w:val="single" w:sz="4" w:space="0" w:color="auto"/>
              <w:bottom w:val="single" w:sz="4" w:space="0" w:color="auto"/>
              <w:right w:val="single" w:sz="4" w:space="0" w:color="auto"/>
            </w:tcBorders>
            <w:vAlign w:val="center"/>
          </w:tcPr>
          <w:p w14:paraId="45FD3292" w14:textId="77777777" w:rsidR="00B93C77" w:rsidRDefault="00B93C77" w:rsidP="00AA65C1">
            <w:pPr>
              <w:jc w:val="center"/>
            </w:pPr>
            <w:r>
              <w:t>Disqualification</w:t>
            </w:r>
          </w:p>
        </w:tc>
        <w:tc>
          <w:tcPr>
            <w:tcW w:w="1150" w:type="dxa"/>
            <w:tcBorders>
              <w:top w:val="single" w:sz="4" w:space="0" w:color="auto"/>
              <w:left w:val="single" w:sz="4" w:space="0" w:color="auto"/>
              <w:bottom w:val="single" w:sz="4" w:space="0" w:color="auto"/>
              <w:right w:val="single" w:sz="4" w:space="0" w:color="auto"/>
            </w:tcBorders>
            <w:vAlign w:val="center"/>
          </w:tcPr>
          <w:p w14:paraId="1D89EFAC" w14:textId="77777777" w:rsidR="00B93C77" w:rsidRDefault="00B93C77" w:rsidP="00AA65C1">
            <w:pPr>
              <w:jc w:val="center"/>
            </w:pPr>
            <w:r>
              <w:t>13-18</w:t>
            </w:r>
          </w:p>
        </w:tc>
      </w:tr>
    </w:tbl>
    <w:p w14:paraId="058DEECB" w14:textId="77777777" w:rsidR="00B93C77" w:rsidRDefault="00B93C77" w:rsidP="00B93C77">
      <w:r>
        <w:t>*Up to discretion of Elections AUS, may result in public censure through Listserv, Facebook, or any other public communication means if the above, prove to be unavailable.</w:t>
      </w:r>
    </w:p>
    <w:p w14:paraId="310E9932" w14:textId="77777777" w:rsidR="00B93C77" w:rsidRDefault="00B93C77" w:rsidP="00B93C77"/>
    <w:p w14:paraId="1817D687" w14:textId="77777777" w:rsidR="00B93C77" w:rsidRDefault="00B93C77" w:rsidP="00B93C77">
      <w:pPr>
        <w:jc w:val="center"/>
      </w:pPr>
      <w:r>
        <w:t xml:space="preserve">These sanctions and demerit points are to be interpreted as a </w:t>
      </w:r>
      <w:r w:rsidRPr="00F85078">
        <w:rPr>
          <w:b/>
          <w:i/>
        </w:rPr>
        <w:t>guideline</w:t>
      </w:r>
      <w:r>
        <w:rPr>
          <w:i/>
        </w:rPr>
        <w:t xml:space="preserve"> </w:t>
      </w:r>
      <w:r>
        <w:t>only. Elections AUS has the sole authority to interpret the sanctions and demerit system. Appeals may be made to the Judicial Board.</w:t>
      </w:r>
    </w:p>
    <w:p w14:paraId="658DB7D5" w14:textId="796348E1" w:rsidR="00B93C77" w:rsidRDefault="00B93C77" w:rsidP="00B93C77">
      <w:pPr>
        <w:jc w:val="center"/>
      </w:pPr>
    </w:p>
    <w:p w14:paraId="08D24877" w14:textId="77777777" w:rsidR="00B93C77" w:rsidRDefault="00B93C77" w:rsidP="00B93C77">
      <w:pPr>
        <w:jc w:val="center"/>
      </w:pPr>
    </w:p>
    <w:p w14:paraId="0632A7CB" w14:textId="77777777" w:rsidR="00B93C77" w:rsidRDefault="00B93C77" w:rsidP="00B93C77">
      <w:pPr>
        <w:jc w:val="center"/>
      </w:pPr>
    </w:p>
    <w:p w14:paraId="655298F1" w14:textId="77777777" w:rsidR="00884D88" w:rsidRDefault="00884D88" w:rsidP="00B93C77"/>
    <w:p w14:paraId="31673814" w14:textId="77777777" w:rsidR="00884D88" w:rsidRDefault="00884D88" w:rsidP="00B93C77"/>
    <w:p w14:paraId="0DFBE68C" w14:textId="77777777" w:rsidR="00884D88" w:rsidRDefault="00884D88" w:rsidP="00B93C77"/>
    <w:p w14:paraId="05774D22" w14:textId="77777777" w:rsidR="00884D88" w:rsidRDefault="00884D88" w:rsidP="00B93C77"/>
    <w:p w14:paraId="605BD0D0" w14:textId="13C847CD" w:rsidR="00B93C77" w:rsidRDefault="00B93C77" w:rsidP="00B93C77">
      <w:r>
        <w:lastRenderedPageBreak/>
        <w:t xml:space="preserve">Demerit </w:t>
      </w:r>
      <w:proofErr w:type="gramStart"/>
      <w:r>
        <w:t>Scale :</w:t>
      </w:r>
      <w:proofErr w:type="gramEnd"/>
      <w:r>
        <w:t xml:space="preserve"> </w:t>
      </w:r>
    </w:p>
    <w:p w14:paraId="3D66B300" w14:textId="77777777" w:rsidR="00B93C77" w:rsidRDefault="00B93C77" w:rsidP="00B93C77">
      <w:pPr>
        <w:pStyle w:val="ListParagraph"/>
        <w:numPr>
          <w:ilvl w:val="0"/>
          <w:numId w:val="1"/>
        </w:numPr>
        <w:spacing w:after="0"/>
      </w:pPr>
      <w:r>
        <w:t xml:space="preserve">8 </w:t>
      </w:r>
      <w:proofErr w:type="gramStart"/>
      <w:r>
        <w:t>Demerits :</w:t>
      </w:r>
      <w:proofErr w:type="gramEnd"/>
      <w:r>
        <w:t xml:space="preserve"> Issuance of a formal warning to a Campaign Committee or Candidate</w:t>
      </w:r>
    </w:p>
    <w:p w14:paraId="27EDCF02" w14:textId="77777777" w:rsidR="00B93C77" w:rsidRDefault="00B93C77" w:rsidP="00B93C77">
      <w:pPr>
        <w:pStyle w:val="ListParagraph"/>
        <w:numPr>
          <w:ilvl w:val="0"/>
          <w:numId w:val="1"/>
        </w:numPr>
        <w:spacing w:after="0"/>
      </w:pPr>
      <w:r>
        <w:t xml:space="preserve">12 </w:t>
      </w:r>
      <w:proofErr w:type="gramStart"/>
      <w:r>
        <w:t>Demerits :</w:t>
      </w:r>
      <w:proofErr w:type="gramEnd"/>
      <w:r>
        <w:t xml:space="preserve"> Public Announcement</w:t>
      </w:r>
    </w:p>
    <w:p w14:paraId="692B488E" w14:textId="77777777" w:rsidR="00B93C77" w:rsidRDefault="00B93C77" w:rsidP="00B93C77">
      <w:pPr>
        <w:pStyle w:val="ListParagraph"/>
        <w:numPr>
          <w:ilvl w:val="0"/>
          <w:numId w:val="1"/>
        </w:numPr>
        <w:spacing w:after="0"/>
      </w:pPr>
      <w:r>
        <w:t xml:space="preserve">13 ~ 17 </w:t>
      </w:r>
      <w:proofErr w:type="gramStart"/>
      <w:r>
        <w:t>Demerits :</w:t>
      </w:r>
      <w:proofErr w:type="gramEnd"/>
      <w:r>
        <w:t xml:space="preserve"> Campaign Suspension</w:t>
      </w:r>
    </w:p>
    <w:p w14:paraId="3C8B5EB5" w14:textId="77777777" w:rsidR="00B93C77" w:rsidRPr="0065321F" w:rsidRDefault="00B93C77" w:rsidP="00B93C77">
      <w:pPr>
        <w:pStyle w:val="ListParagraph"/>
        <w:numPr>
          <w:ilvl w:val="0"/>
          <w:numId w:val="1"/>
        </w:numPr>
        <w:spacing w:after="0"/>
      </w:pPr>
      <w:r>
        <w:t xml:space="preserve">18 ~ 20 </w:t>
      </w:r>
      <w:proofErr w:type="gramStart"/>
      <w:r>
        <w:t>Demerits :</w:t>
      </w:r>
      <w:proofErr w:type="gramEnd"/>
      <w:r>
        <w:t xml:space="preserve"> Automatic consideration of disqualification / invalidation</w:t>
      </w:r>
    </w:p>
    <w:p w14:paraId="49BD078A" w14:textId="77777777" w:rsidR="00B93C77" w:rsidRDefault="00B93C77" w:rsidP="00B93C77">
      <w:pPr>
        <w:rPr>
          <w:sz w:val="32"/>
        </w:rPr>
      </w:pPr>
    </w:p>
    <w:p w14:paraId="73D72567" w14:textId="77777777" w:rsidR="00B93C77" w:rsidRDefault="00B93C77" w:rsidP="00B93C77">
      <w:pPr>
        <w:rPr>
          <w:sz w:val="32"/>
        </w:rPr>
      </w:pPr>
    </w:p>
    <w:p w14:paraId="1FC2CC51" w14:textId="77777777" w:rsidR="00B93C77" w:rsidRDefault="00B93C77" w:rsidP="00B93C77">
      <w:pPr>
        <w:rPr>
          <w:sz w:val="32"/>
        </w:rPr>
      </w:pPr>
    </w:p>
    <w:p w14:paraId="0F25087C" w14:textId="77777777" w:rsidR="00B93C77" w:rsidRDefault="00B93C77" w:rsidP="00B93C77">
      <w:pPr>
        <w:rPr>
          <w:sz w:val="32"/>
        </w:rPr>
      </w:pPr>
    </w:p>
    <w:p w14:paraId="1AC33459" w14:textId="77777777" w:rsidR="00B93C77" w:rsidRDefault="00B93C77" w:rsidP="00B93C77">
      <w:pPr>
        <w:rPr>
          <w:sz w:val="32"/>
        </w:rPr>
      </w:pPr>
    </w:p>
    <w:p w14:paraId="4DBBEFC1" w14:textId="77777777" w:rsidR="00B93C77" w:rsidRDefault="00B93C77" w:rsidP="00B93C77">
      <w:pPr>
        <w:rPr>
          <w:sz w:val="32"/>
        </w:rPr>
      </w:pPr>
    </w:p>
    <w:p w14:paraId="3DE9AC82" w14:textId="77777777" w:rsidR="00B93C77" w:rsidRDefault="00B93C77" w:rsidP="00B93C77">
      <w:pPr>
        <w:rPr>
          <w:sz w:val="32"/>
        </w:rPr>
      </w:pPr>
    </w:p>
    <w:bookmarkEnd w:id="0"/>
    <w:p w14:paraId="488BD88F" w14:textId="77777777" w:rsidR="00B93C77" w:rsidRDefault="00B93C77" w:rsidP="00B93C77">
      <w:pPr>
        <w:rPr>
          <w:sz w:val="32"/>
        </w:rPr>
      </w:pPr>
    </w:p>
    <w:p w14:paraId="37FFBDEA" w14:textId="77777777" w:rsidR="00B93C77" w:rsidRDefault="00B93C77" w:rsidP="00B93C77">
      <w:pPr>
        <w:rPr>
          <w:sz w:val="32"/>
        </w:rPr>
      </w:pPr>
    </w:p>
    <w:p w14:paraId="69259D49" w14:textId="77777777" w:rsidR="00B93C77" w:rsidRDefault="00B93C77" w:rsidP="00B93C77">
      <w:pPr>
        <w:rPr>
          <w:sz w:val="32"/>
        </w:rPr>
      </w:pPr>
    </w:p>
    <w:p w14:paraId="630FED35" w14:textId="77777777" w:rsidR="00B93C77" w:rsidRDefault="00B93C77" w:rsidP="00B93C77">
      <w:pPr>
        <w:rPr>
          <w:sz w:val="32"/>
        </w:rPr>
      </w:pPr>
    </w:p>
    <w:p w14:paraId="750BF579" w14:textId="77777777" w:rsidR="00B93C77" w:rsidRDefault="00B93C77" w:rsidP="00B93C77">
      <w:pPr>
        <w:rPr>
          <w:sz w:val="32"/>
        </w:rPr>
      </w:pPr>
    </w:p>
    <w:p w14:paraId="66D52063" w14:textId="77777777" w:rsidR="00B93C77" w:rsidRDefault="00B93C77" w:rsidP="00B93C77">
      <w:pPr>
        <w:rPr>
          <w:sz w:val="32"/>
        </w:rPr>
      </w:pPr>
    </w:p>
    <w:p w14:paraId="19485281" w14:textId="77777777" w:rsidR="00B93C77" w:rsidRPr="00BC7D9D" w:rsidRDefault="00B93C77" w:rsidP="00B93C77">
      <w:pPr>
        <w:rPr>
          <w:sz w:val="28"/>
        </w:rPr>
      </w:pPr>
    </w:p>
    <w:p w14:paraId="0691DEDB" w14:textId="77777777" w:rsidR="00B93C77" w:rsidRPr="00BC7D9D" w:rsidRDefault="00B93C77" w:rsidP="00B93C77">
      <w:pPr>
        <w:rPr>
          <w:sz w:val="28"/>
        </w:rPr>
      </w:pPr>
    </w:p>
    <w:p w14:paraId="251F2FAF" w14:textId="77777777" w:rsidR="00B93C77" w:rsidRPr="00BC7D9D" w:rsidRDefault="00B93C77" w:rsidP="00B93C77">
      <w:pPr>
        <w:rPr>
          <w:sz w:val="28"/>
        </w:rPr>
      </w:pPr>
    </w:p>
    <w:p w14:paraId="6AD81804" w14:textId="77777777" w:rsidR="00B93C77" w:rsidRDefault="00B93C77" w:rsidP="00C3258C"/>
    <w:sectPr w:rsidR="00B93C77" w:rsidSect="007B15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ightEx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81989"/>
    <w:multiLevelType w:val="hybridMultilevel"/>
    <w:tmpl w:val="363E77E2"/>
    <w:lvl w:ilvl="0" w:tplc="4E7C5A5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8B"/>
    <w:rsid w:val="00162F96"/>
    <w:rsid w:val="00163CC4"/>
    <w:rsid w:val="0041181F"/>
    <w:rsid w:val="00540F13"/>
    <w:rsid w:val="007B15B8"/>
    <w:rsid w:val="00884D88"/>
    <w:rsid w:val="00AD62A6"/>
    <w:rsid w:val="00B93C77"/>
    <w:rsid w:val="00BF388B"/>
    <w:rsid w:val="00C1781B"/>
    <w:rsid w:val="00C23796"/>
    <w:rsid w:val="00C3258C"/>
    <w:rsid w:val="00C7233B"/>
    <w:rsid w:val="00E97155"/>
    <w:rsid w:val="00F915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8221D9"/>
  <w15:chartTrackingRefBased/>
  <w15:docId w15:val="{0F805AE0-6E9E-E24B-B201-133DF2C0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C77"/>
    <w:pPr>
      <w:spacing w:before="100" w:beforeAutospacing="1" w:after="100" w:afterAutospacing="1"/>
    </w:pPr>
    <w:rPr>
      <w:rFonts w:ascii="Times New Roman" w:eastAsia="Times New Roman" w:hAnsi="Times New Roman" w:cs="Times New Roman"/>
      <w:lang w:eastAsia="ko-KR"/>
    </w:rPr>
  </w:style>
  <w:style w:type="table" w:styleId="TableGrid">
    <w:name w:val="Table Grid"/>
    <w:basedOn w:val="TableNormal"/>
    <w:uiPriority w:val="39"/>
    <w:rsid w:val="00B93C77"/>
    <w:rPr>
      <w:rFonts w:ascii="Times New Roman" w:eastAsiaTheme="minorEastAsia" w:hAnsi="Times New Roman"/>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C77"/>
    <w:pPr>
      <w:spacing w:after="160" w:line="259" w:lineRule="auto"/>
      <w:ind w:left="720"/>
      <w:contextualSpacing/>
    </w:pPr>
    <w:rPr>
      <w:rFonts w:ascii="Times New Roman" w:eastAsiaTheme="minorEastAsia" w:hAnsi="Times New Roman"/>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Thomas</dc:creator>
  <cp:keywords/>
  <dc:description/>
  <cp:lastModifiedBy>Maria Thomas</cp:lastModifiedBy>
  <cp:revision>28</cp:revision>
  <dcterms:created xsi:type="dcterms:W3CDTF">2019-01-11T03:48:00Z</dcterms:created>
  <dcterms:modified xsi:type="dcterms:W3CDTF">2019-01-13T21:54:00Z</dcterms:modified>
</cp:coreProperties>
</file>