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1">
      <w:pPr>
        <w:ind w:left="0" w:firstLine="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Motion to Send Letter to Advisory Committee for the Selection of a Deputy Provost (Student Life and Learning)</w:t>
      </w:r>
    </w:p>
    <w:p w:rsidR="00000000" w:rsidDel="00000000" w:rsidP="00000000" w:rsidRDefault="00000000" w:rsidRPr="00000000" w14:paraId="00000002">
      <w:pPr>
        <w:ind w:left="0" w:firstLine="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ind w:right="54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w:t>
      </w:r>
      <w:r w:rsidDel="00000000" w:rsidR="00000000" w:rsidRPr="00000000">
        <w:rPr>
          <w:rFonts w:ascii="Cambria" w:cs="Cambria" w:eastAsia="Cambria" w:hAnsi="Cambria"/>
          <w:sz w:val="24"/>
          <w:szCs w:val="24"/>
          <w:rtl w:val="0"/>
        </w:rPr>
        <w:t xml:space="preserve"> a committee has been created in accordance with the McGill University Statutes to select the next Deputy Provost of Student Life and Learning (hereafter “DPSLL”), whose term will last at least five years;</w:t>
      </w:r>
    </w:p>
    <w:p w:rsidR="00000000" w:rsidDel="00000000" w:rsidP="00000000" w:rsidRDefault="00000000" w:rsidRPr="00000000" w14:paraId="00000004">
      <w:pPr>
        <w:ind w:right="5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5">
      <w:pPr>
        <w:ind w:right="54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w:t>
      </w:r>
      <w:r w:rsidDel="00000000" w:rsidR="00000000" w:rsidRPr="00000000">
        <w:rPr>
          <w:rFonts w:ascii="Cambria" w:cs="Cambria" w:eastAsia="Cambria" w:hAnsi="Cambria"/>
          <w:b w:val="1"/>
          <w:i w:val="1"/>
          <w:sz w:val="24"/>
          <w:szCs w:val="24"/>
          <w:rtl w:val="0"/>
        </w:rPr>
        <w:t xml:space="preserve">,</w:t>
      </w:r>
      <w:r w:rsidDel="00000000" w:rsidR="00000000" w:rsidRPr="00000000">
        <w:rPr>
          <w:rFonts w:ascii="Cambria" w:cs="Cambria" w:eastAsia="Cambria" w:hAnsi="Cambria"/>
          <w:sz w:val="24"/>
          <w:szCs w:val="24"/>
          <w:rtl w:val="0"/>
        </w:rPr>
        <w:t xml:space="preserve"> the DPSLL is the member of administration responsible for representing the needs of students to their colleagues;</w:t>
      </w:r>
    </w:p>
    <w:p w:rsidR="00000000" w:rsidDel="00000000" w:rsidP="00000000" w:rsidRDefault="00000000" w:rsidRPr="00000000" w14:paraId="00000006">
      <w:pPr>
        <w:ind w:right="5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7">
      <w:pPr>
        <w:ind w:right="54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 the interim DPSLL’s willingness to work with student representatives has been very valuable, and continuing such a working relationship in the coming decade would massively benefit the AUS and its members;</w:t>
      </w:r>
    </w:p>
    <w:p w:rsidR="00000000" w:rsidDel="00000000" w:rsidP="00000000" w:rsidRDefault="00000000" w:rsidRPr="00000000" w14:paraId="00000008">
      <w:pPr>
        <w:ind w:right="5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9">
      <w:pPr>
        <w:ind w:right="54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 the Advisory Committee for the Selection of a DPSLL is encouraging members of the McGill community to provide their views on the qualities a DPSLL should possess; </w:t>
      </w:r>
    </w:p>
    <w:p w:rsidR="00000000" w:rsidDel="00000000" w:rsidP="00000000" w:rsidRDefault="00000000" w:rsidRPr="00000000" w14:paraId="0000000A">
      <w:pPr>
        <w:ind w:right="54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ind w:right="54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 </w:t>
      </w:r>
      <w:r w:rsidDel="00000000" w:rsidR="00000000" w:rsidRPr="00000000">
        <w:rPr>
          <w:rFonts w:ascii="Cambria" w:cs="Cambria" w:eastAsia="Cambria" w:hAnsi="Cambria"/>
          <w:sz w:val="24"/>
          <w:szCs w:val="24"/>
          <w:rtl w:val="0"/>
        </w:rPr>
        <w:t xml:space="preserve">the Engineering Undergraduate Society (hereinafter EUS) has already written and </w:t>
      </w:r>
      <w:hyperlink r:id="rId6">
        <w:r w:rsidDel="00000000" w:rsidR="00000000" w:rsidRPr="00000000">
          <w:rPr>
            <w:rFonts w:ascii="Cambria" w:cs="Cambria" w:eastAsia="Cambria" w:hAnsi="Cambria"/>
            <w:color w:val="1155cc"/>
            <w:sz w:val="24"/>
            <w:szCs w:val="24"/>
            <w:u w:val="single"/>
            <w:rtl w:val="0"/>
          </w:rPr>
          <w:t xml:space="preserve">submitted a letter</w:t>
        </w:r>
      </w:hyperlink>
      <w:r w:rsidDel="00000000" w:rsidR="00000000" w:rsidRPr="00000000">
        <w:rPr>
          <w:rFonts w:ascii="Cambria" w:cs="Cambria" w:eastAsia="Cambria" w:hAnsi="Cambria"/>
          <w:sz w:val="24"/>
          <w:szCs w:val="24"/>
          <w:rtl w:val="0"/>
        </w:rPr>
        <w:t xml:space="preserve"> to the Advisory Committee outlining their own recommendations and requests; </w:t>
      </w:r>
    </w:p>
    <w:p w:rsidR="00000000" w:rsidDel="00000000" w:rsidP="00000000" w:rsidRDefault="00000000" w:rsidRPr="00000000" w14:paraId="0000000C">
      <w:pPr>
        <w:ind w:right="54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ind w:right="54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Whereas,</w:t>
      </w:r>
      <w:r w:rsidDel="00000000" w:rsidR="00000000" w:rsidRPr="00000000">
        <w:rPr>
          <w:rFonts w:ascii="Cambria" w:cs="Cambria" w:eastAsia="Cambria" w:hAnsi="Cambria"/>
          <w:sz w:val="24"/>
          <w:szCs w:val="24"/>
          <w:rtl w:val="0"/>
        </w:rPr>
        <w:t xml:space="preserve"> the much of the text of this motion is taken from the EUS’s own motion, with their approval;</w:t>
      </w:r>
    </w:p>
    <w:p w:rsidR="00000000" w:rsidDel="00000000" w:rsidP="00000000" w:rsidRDefault="00000000" w:rsidRPr="00000000" w14:paraId="0000000E">
      <w:pPr>
        <w:ind w:right="5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F">
      <w:pPr>
        <w:ind w:right="5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0">
      <w:pPr>
        <w:ind w:right="5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1">
      <w:pPr>
        <w:ind w:right="54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Be it resolved,</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that the letter in </w:t>
      </w:r>
      <w:r w:rsidDel="00000000" w:rsidR="00000000" w:rsidRPr="00000000">
        <w:rPr>
          <w:rFonts w:ascii="Cambria" w:cs="Cambria" w:eastAsia="Cambria" w:hAnsi="Cambria"/>
          <w:b w:val="1"/>
          <w:sz w:val="24"/>
          <w:szCs w:val="24"/>
          <w:rtl w:val="0"/>
        </w:rPr>
        <w:t xml:space="preserve">Appendix X</w:t>
      </w:r>
      <w:r w:rsidDel="00000000" w:rsidR="00000000" w:rsidRPr="00000000">
        <w:rPr>
          <w:rFonts w:ascii="Cambria" w:cs="Cambria" w:eastAsia="Cambria" w:hAnsi="Cambria"/>
          <w:sz w:val="24"/>
          <w:szCs w:val="24"/>
          <w:rtl w:val="0"/>
        </w:rPr>
        <w:t xml:space="preserve"> be submitted to the Advisory Committee for the Selection of a Deputy Provost (Student Life and Learning) on behalf of the AUS.</w:t>
      </w:r>
    </w:p>
    <w:p w:rsidR="00000000" w:rsidDel="00000000" w:rsidP="00000000" w:rsidRDefault="00000000" w:rsidRPr="00000000" w14:paraId="00000012">
      <w:pPr>
        <w:ind w:right="54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ind w:right="54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ind w:right="54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Moved by</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5">
      <w:pPr>
        <w:ind w:right="5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Madeline Wilson, Arts Senator</w:t>
      </w:r>
    </w:p>
    <w:p w:rsidR="00000000" w:rsidDel="00000000" w:rsidP="00000000" w:rsidRDefault="00000000" w:rsidRPr="00000000" w14:paraId="00000016">
      <w:pPr>
        <w:ind w:right="5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Jennifer Chan, PSSA VP External</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240" w:lineRule="auto"/>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1419225</wp:posOffset>
              </wp:positionH>
              <wp:positionV relativeFrom="paragraph">
                <wp:posOffset>123825</wp:posOffset>
              </wp:positionV>
              <wp:extent cx="2743200" cy="571500"/>
              <wp:effectExtent b="0" l="0" r="0" t="0"/>
              <wp:wrapNone/>
              <wp:docPr id="2" name=""/>
              <a:graphic>
                <a:graphicData uri="http://schemas.microsoft.com/office/word/2010/wordprocessingShape">
                  <wps:wsp>
                    <wps:cNvSpPr/>
                    <wps:cNvPr id="3" name="Shape 3"/>
                    <wps:spPr>
                      <a:xfrm>
                        <a:off x="3974400" y="349425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1419225</wp:posOffset>
              </wp:positionH>
              <wp:positionV relativeFrom="paragraph">
                <wp:posOffset>123825</wp:posOffset>
              </wp:positionV>
              <wp:extent cx="2743200" cy="5715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743200" cy="571500"/>
                      </a:xfrm>
                      <a:prstGeom prst="rect"/>
                      <a:ln/>
                    </pic:spPr>
                  </pic:pic>
                </a:graphicData>
              </a:graphic>
            </wp:anchor>
          </w:drawing>
        </mc:Fallback>
      </mc:AlternateContent>
    </w:r>
  </w:p>
  <w:p w:rsidR="00000000" w:rsidDel="00000000" w:rsidP="00000000" w:rsidRDefault="00000000" w:rsidRPr="00000000" w14:paraId="00000018">
    <w:pP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104775</wp:posOffset>
              </wp:positionV>
              <wp:extent cx="2286000" cy="571500"/>
              <wp:effectExtent b="0" l="0" r="0" t="0"/>
              <wp:wrapNone/>
              <wp:docPr id="3" name=""/>
              <a:graphic>
                <a:graphicData uri="http://schemas.microsoft.com/office/word/2010/wordprocessingShape">
                  <wps:wsp>
                    <wps:cNvSpPr/>
                    <wps:cNvPr id="4" name="Shape 4"/>
                    <wps:spPr>
                      <a:xfrm>
                        <a:off x="4203000" y="3494250"/>
                        <a:ext cx="2286000" cy="5715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104775</wp:posOffset>
              </wp:positionV>
              <wp:extent cx="2286000" cy="571500"/>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286000" cy="571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28575</wp:posOffset>
          </wp:positionV>
          <wp:extent cx="1485900" cy="571500"/>
          <wp:effectExtent b="0" l="0" r="0" t="0"/>
          <wp:wrapNone/>
          <wp:docPr id="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485900" cy="571500"/>
                  </a:xfrm>
                  <a:prstGeom prst="rect"/>
                  <a:ln/>
                </pic:spPr>
              </pic:pic>
            </a:graphicData>
          </a:graphic>
        </wp:anchor>
      </w:drawing>
    </w:r>
  </w:p>
  <w:p w:rsidR="00000000" w:rsidDel="00000000" w:rsidP="00000000" w:rsidRDefault="00000000" w:rsidRPr="00000000" w14:paraId="0000001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409575</wp:posOffset>
              </wp:positionV>
              <wp:extent cx="5715000" cy="12700"/>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409575</wp:posOffset>
              </wp:positionV>
              <wp:extent cx="5715000" cy="12700"/>
              <wp:effectExtent b="0" l="0" r="0" t="0"/>
              <wp:wrapNone/>
              <wp:docPr id="1"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7150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CubVlxlonzlf2StnAhX7Q1iuEsHvHSV02sqMUf46Uno/edit?usp=sharin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