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MOTION TO AMEND THE AUS 2020 GENERAL ELECTION DATES </w:t>
        <w:br w:type="textWrapping"/>
        <w:t xml:space="preserve">(RE: CAMPAIGN PERIOD)</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the 2020 AUS General Elections are approaching and this is the last Council before the CRO starts nomination period tomorrow (January 30);</w:t>
      </w:r>
    </w:p>
    <w:p w:rsidR="00000000" w:rsidDel="00000000" w:rsidP="00000000" w:rsidRDefault="00000000" w:rsidRPr="00000000" w14:paraId="0000000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 </w:t>
      </w:r>
      <w:r w:rsidDel="00000000" w:rsidR="00000000" w:rsidRPr="00000000">
        <w:rPr>
          <w:rFonts w:ascii="Times New Roman" w:cs="Times New Roman" w:eastAsia="Times New Roman" w:hAnsi="Times New Roman"/>
          <w:rtl w:val="0"/>
        </w:rPr>
        <w:t xml:space="preserve">the designated dates for the campaign period are currently February 10 at 9AM to February 14 at 5PM and the designated dates for the polling period are currently February 17 at 9AM to February 19 at 5PM ;</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many individuals consult candidates’ platforms to learn more about a candidate and directly ask questions to candidates;</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candidate platforms are frequently only available online in campaign materials including, but not limited to, Facebook pages, Instagram accounts, etc.</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many constituents only find out about elections happening during the polling period;</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according to the electoral by-laws, all campaign materials must be removed at the end of the campaign period leaving only the pen sketch on the voting ballot as the sole information on a candidate.</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Be it resolved, </w:t>
      </w:r>
      <w:r w:rsidDel="00000000" w:rsidR="00000000" w:rsidRPr="00000000">
        <w:rPr>
          <w:rFonts w:ascii="Times New Roman" w:cs="Times New Roman" w:eastAsia="Times New Roman" w:hAnsi="Times New Roman"/>
          <w:rtl w:val="0"/>
        </w:rPr>
        <w:t xml:space="preserve">allowing an extension of the campaign period to include the polling period increases accessibility and availability of information for constituents so they may make a fully-educated choice in candidates while voting, as well as increase voter turnout for a better representation of constituents within the AUS.</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Respectfully submitted,</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Kimberly Yang, VP Social</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Jamal Tarrabain, President</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-542924</wp:posOffset>
          </wp:positionH>
          <wp:positionV relativeFrom="paragraph">
            <wp:posOffset>-38099</wp:posOffset>
          </wp:positionV>
          <wp:extent cx="7119938" cy="975082"/>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119938" cy="9750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