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F2D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6D98" w14:textId="60BD1363" w:rsidR="00761F5F" w:rsidRPr="008A34CB" w:rsidRDefault="00761F5F" w:rsidP="00761F5F">
      <w:pPr>
        <w:jc w:val="right"/>
        <w:rPr>
          <w:sz w:val="20"/>
        </w:rPr>
      </w:pPr>
      <w:r w:rsidRPr="008A34CB">
        <w:rPr>
          <w:sz w:val="20"/>
        </w:rPr>
        <w:t>F1920-</w:t>
      </w:r>
      <w:r w:rsidR="00F7249B">
        <w:rPr>
          <w:sz w:val="20"/>
        </w:rPr>
        <w:t>2</w:t>
      </w:r>
      <w:r w:rsidR="00DA3E16">
        <w:rPr>
          <w:sz w:val="20"/>
        </w:rPr>
        <w:t>6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572D0EE8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 xml:space="preserve">Ratify </w:t>
      </w:r>
      <w:r w:rsidR="00DA3E16">
        <w:rPr>
          <w:b/>
        </w:rPr>
        <w:t xml:space="preserve">Arts Undergraduate Improvement Fund </w:t>
      </w:r>
      <w:r w:rsidR="004B391A">
        <w:rPr>
          <w:b/>
        </w:rPr>
        <w:t>Committee (</w:t>
      </w:r>
      <w:r w:rsidR="00DA3E16">
        <w:rPr>
          <w:b/>
        </w:rPr>
        <w:t>AUIFC</w:t>
      </w:r>
      <w:r w:rsidR="004B391A">
        <w:rPr>
          <w:b/>
        </w:rPr>
        <w:t>) Decisions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53095A1C" w14:textId="28D2CB20" w:rsidR="00DA3E16" w:rsidRDefault="00DA3E16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DA3E1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the Arts Undergraduate Improvement Fund (AUIF) collects funds for capital improvement projects to benefit undergraduate arts students at McGill</w:t>
      </w:r>
      <w:r>
        <w:rPr>
          <w:rFonts w:ascii="Arial" w:hAnsi="Arial" w:cs="Arial"/>
          <w:color w:val="000000"/>
          <w:sz w:val="22"/>
          <w:szCs w:val="22"/>
          <w:lang w:val="en-CA"/>
        </w:rPr>
        <w:t>;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p w14:paraId="39C75421" w14:textId="2EF35719" w:rsidR="00DA3E16" w:rsidRDefault="00DA3E16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48611D25" w14:textId="698A444D" w:rsidR="00DA3E16" w:rsidRDefault="00DA3E16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DA3E1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color w:val="000000"/>
          <w:sz w:val="22"/>
          <w:szCs w:val="22"/>
          <w:lang w:val="en-CA"/>
        </w:rPr>
        <w:t>, these improvements are meant to “…add value to the resources normally provided by the university and used by Arts Students.” (</w:t>
      </w:r>
      <w:r w:rsidRPr="00DA3E16"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AUIFC By-laws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, Article 1.1); </w:t>
      </w:r>
    </w:p>
    <w:p w14:paraId="786B3661" w14:textId="44122378" w:rsidR="00F2478A" w:rsidRDefault="00F2478A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06E792BB" w14:textId="1F20D9CD" w:rsidR="00F2478A" w:rsidRDefault="00F2478A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F2478A">
        <w:rPr>
          <w:rFonts w:ascii="Arial" w:hAnsi="Arial" w:cs="Arial"/>
          <w:b/>
          <w:bCs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10% of the AUIF is allocated to the Arts Internship Office (AIO) and </w:t>
      </w:r>
      <w:r>
        <w:rPr>
          <w:rFonts w:ascii="Arial" w:hAnsi="Arial" w:cs="Arial"/>
          <w:color w:val="000000"/>
          <w:sz w:val="22"/>
          <w:szCs w:val="22"/>
          <w:lang w:val="en-CA"/>
        </w:rPr>
        <w:t>10% (as amended in September 2019, up to $30 000 yearly)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is allocated to the Fine Arts Council (FAC)</w:t>
      </w:r>
      <w:r>
        <w:rPr>
          <w:rFonts w:ascii="Arial" w:hAnsi="Arial" w:cs="Arial"/>
          <w:color w:val="000000"/>
          <w:sz w:val="22"/>
          <w:szCs w:val="22"/>
          <w:lang w:val="en-CA"/>
        </w:rPr>
        <w:t>. In FY2020 ($29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018.50 for both); </w:t>
      </w:r>
    </w:p>
    <w:p w14:paraId="24517A3B" w14:textId="64CAECB8" w:rsidR="00DA3E16" w:rsidRDefault="00DA3E16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</w:p>
    <w:p w14:paraId="57E82D07" w14:textId="02AAAEF0" w:rsidR="00DA3E16" w:rsidRPr="00DA3E16" w:rsidRDefault="00DA3E16" w:rsidP="00DA3E16">
      <w:pPr>
        <w:rPr>
          <w:lang w:val="en-CA"/>
        </w:rPr>
      </w:pPr>
      <w:r w:rsidRPr="00DA3E16">
        <w:rPr>
          <w:rFonts w:ascii="Arial" w:hAnsi="Arial" w:cs="Arial"/>
          <w:b/>
          <w:b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CA"/>
        </w:rPr>
        <w:t>targeted improvements are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essential for the maintenance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and strategic improvement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of the societ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y, 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>its affiliated departments,</w:t>
      </w:r>
      <w:r>
        <w:rPr>
          <w:rFonts w:ascii="Arial" w:hAnsi="Arial" w:cs="Arial"/>
          <w:color w:val="000000"/>
          <w:sz w:val="22"/>
          <w:szCs w:val="22"/>
          <w:lang w:val="en-CA"/>
        </w:rPr>
        <w:t xml:space="preserve"> and most significantly, the McGill academic community at large; </w:t>
      </w:r>
    </w:p>
    <w:p w14:paraId="3884C036" w14:textId="77777777" w:rsidR="00DA3E16" w:rsidRPr="007E1792" w:rsidRDefault="00DA3E16" w:rsidP="00DA3E16">
      <w:pPr>
        <w:rPr>
          <w:lang w:val="en-CA"/>
        </w:rPr>
      </w:pPr>
    </w:p>
    <w:p w14:paraId="57CEAB89" w14:textId="3A2EA2D2" w:rsidR="00DA3E16" w:rsidRDefault="00DA3E16" w:rsidP="00DA3E16">
      <w:pPr>
        <w:rPr>
          <w:rFonts w:ascii="Arial" w:hAnsi="Arial" w:cs="Arial"/>
          <w:color w:val="000000"/>
          <w:sz w:val="22"/>
          <w:szCs w:val="22"/>
          <w:lang w:val="en-CA"/>
        </w:rPr>
      </w:pPr>
      <w:r w:rsidRPr="00F2478A">
        <w:rPr>
          <w:rFonts w:ascii="Arial" w:hAnsi="Arial" w:cs="Arial"/>
          <w:b/>
          <w:bCs/>
          <w:iCs/>
          <w:color w:val="000000"/>
          <w:sz w:val="22"/>
          <w:szCs w:val="22"/>
          <w:lang w:val="en-CA"/>
        </w:rPr>
        <w:t>Whereas</w:t>
      </w:r>
      <w:r>
        <w:rPr>
          <w:rFonts w:ascii="Arial" w:hAnsi="Arial" w:cs="Arial"/>
          <w:i/>
          <w:iCs/>
          <w:color w:val="000000"/>
          <w:sz w:val="22"/>
          <w:szCs w:val="22"/>
          <w:lang w:val="en-CA"/>
        </w:rPr>
        <w:t>,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C75EB9">
        <w:rPr>
          <w:rFonts w:ascii="Arial" w:hAnsi="Arial" w:cs="Arial"/>
          <w:color w:val="000000"/>
          <w:sz w:val="22"/>
          <w:szCs w:val="22"/>
          <w:lang w:val="en-CA"/>
        </w:rPr>
        <w:t>In FY2020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AUIF</w:t>
      </w:r>
      <w:r w:rsidR="00C75EB9">
        <w:rPr>
          <w:rFonts w:ascii="Arial" w:hAnsi="Arial" w:cs="Arial"/>
          <w:color w:val="000000"/>
          <w:sz w:val="22"/>
          <w:szCs w:val="22"/>
          <w:lang w:val="en-CA"/>
        </w:rPr>
        <w:t>C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  <w:r w:rsidR="00F2478A">
        <w:rPr>
          <w:rFonts w:ascii="Arial" w:hAnsi="Arial" w:cs="Arial"/>
          <w:color w:val="000000"/>
          <w:sz w:val="22"/>
          <w:szCs w:val="22"/>
          <w:lang w:val="en-CA"/>
        </w:rPr>
        <w:t>is funding</w:t>
      </w:r>
      <w:r w:rsidRPr="007E1792">
        <w:rPr>
          <w:rFonts w:ascii="Arial" w:hAnsi="Arial" w:cs="Arial"/>
          <w:color w:val="000000"/>
          <w:sz w:val="22"/>
          <w:szCs w:val="22"/>
          <w:lang w:val="en-CA"/>
        </w:rPr>
        <w:t xml:space="preserve"> improvements to the </w:t>
      </w:r>
      <w:r w:rsidR="006A4354">
        <w:rPr>
          <w:rFonts w:ascii="Arial" w:hAnsi="Arial" w:cs="Arial"/>
          <w:color w:val="000000"/>
          <w:sz w:val="22"/>
          <w:szCs w:val="22"/>
          <w:lang w:val="en-CA"/>
        </w:rPr>
        <w:t xml:space="preserve">Department of English, </w:t>
      </w:r>
      <w:r w:rsidR="006A4354" w:rsidRPr="007E1792">
        <w:rPr>
          <w:rFonts w:ascii="Arial" w:hAnsi="Arial" w:cs="Arial"/>
          <w:color w:val="000000"/>
          <w:sz w:val="22"/>
          <w:szCs w:val="22"/>
          <w:lang w:val="en-CA"/>
        </w:rPr>
        <w:t>the Humanities and Social Sciences Library</w:t>
      </w:r>
      <w:r w:rsidR="006A4354">
        <w:rPr>
          <w:rFonts w:ascii="Arial" w:hAnsi="Arial" w:cs="Arial"/>
          <w:color w:val="000000"/>
          <w:sz w:val="22"/>
          <w:szCs w:val="22"/>
          <w:lang w:val="en-CA"/>
        </w:rPr>
        <w:t xml:space="preserve">, </w:t>
      </w:r>
      <w:proofErr w:type="spellStart"/>
      <w:r w:rsidR="006A4354">
        <w:rPr>
          <w:rFonts w:ascii="Arial" w:hAnsi="Arial" w:cs="Arial"/>
          <w:color w:val="000000"/>
          <w:sz w:val="22"/>
          <w:szCs w:val="22"/>
          <w:lang w:val="en-CA"/>
        </w:rPr>
        <w:t>Moyse</w:t>
      </w:r>
      <w:proofErr w:type="spellEnd"/>
      <w:r w:rsidR="006A4354">
        <w:rPr>
          <w:rFonts w:ascii="Arial" w:hAnsi="Arial" w:cs="Arial"/>
          <w:color w:val="000000"/>
          <w:sz w:val="22"/>
          <w:szCs w:val="22"/>
          <w:lang w:val="en-CA"/>
        </w:rPr>
        <w:t xml:space="preserve"> Hall, Art History and Communications Studies, AUS Publication Commission, French Language Center, Institute for Gender, Sexuality, and Feminist Studies, HSA and GSA; </w:t>
      </w:r>
    </w:p>
    <w:p w14:paraId="2804AEF3" w14:textId="24372EA0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7B01474C" w14:textId="78C9FB3D" w:rsidR="0055780A" w:rsidRDefault="00F2478A" w:rsidP="004B391A">
      <w:pPr>
        <w:pStyle w:val="ListParagraph"/>
        <w:numPr>
          <w:ilvl w:val="0"/>
          <w:numId w:val="21"/>
        </w:numPr>
        <w:spacing w:line="271" w:lineRule="auto"/>
      </w:pPr>
      <w:r>
        <w:t>AUIFC</w:t>
      </w:r>
      <w:r w:rsidR="004B391A">
        <w:t xml:space="preserve"> decisions at</w:t>
      </w:r>
      <w:bookmarkStart w:id="0" w:name="_GoBack"/>
      <w:bookmarkEnd w:id="0"/>
      <w:r w:rsidR="004B391A">
        <w:t>tached in Appendix A be ratified</w:t>
      </w:r>
      <w:r w:rsidR="00D959E9">
        <w:t xml:space="preserve">. </w:t>
      </w:r>
      <w:r w:rsidR="004B391A">
        <w:t xml:space="preserve"> </w:t>
      </w:r>
    </w:p>
    <w:p w14:paraId="0D4014AE" w14:textId="77777777" w:rsidR="008226DE" w:rsidRDefault="008226DE" w:rsidP="0055780A">
      <w:pPr>
        <w:spacing w:line="271" w:lineRule="auto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5B0E1B1C" w14:textId="77777777"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14:paraId="4732E367" w14:textId="77777777" w:rsidR="0055780A" w:rsidRPr="00264C71" w:rsidRDefault="004B391A" w:rsidP="0055780A">
      <w:r>
        <w:t xml:space="preserve">Jamal </w:t>
      </w:r>
      <w:proofErr w:type="spellStart"/>
      <w:r>
        <w:t>Tarrabain</w:t>
      </w:r>
      <w:proofErr w:type="spellEnd"/>
      <w:r>
        <w:t xml:space="preserve">, President </w:t>
      </w:r>
    </w:p>
    <w:p w14:paraId="064AC548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4354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75EB9"/>
    <w:rsid w:val="00C80B1A"/>
    <w:rsid w:val="00CC3883"/>
    <w:rsid w:val="00D21F47"/>
    <w:rsid w:val="00D44AC4"/>
    <w:rsid w:val="00D55A5D"/>
    <w:rsid w:val="00D959E9"/>
    <w:rsid w:val="00DA3E16"/>
    <w:rsid w:val="00DA4B3F"/>
    <w:rsid w:val="00E110B3"/>
    <w:rsid w:val="00E37544"/>
    <w:rsid w:val="00EA65EB"/>
    <w:rsid w:val="00F02BD1"/>
    <w:rsid w:val="00F2478A"/>
    <w:rsid w:val="00F321AE"/>
    <w:rsid w:val="00F51E22"/>
    <w:rsid w:val="00F7249B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BBBC-3290-4E26-A944-C481C3EF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8</cp:revision>
  <dcterms:created xsi:type="dcterms:W3CDTF">2019-11-25T17:57:00Z</dcterms:created>
  <dcterms:modified xsi:type="dcterms:W3CDTF">2020-03-11T15:35:00Z</dcterms:modified>
</cp:coreProperties>
</file>