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866C" w14:textId="77777777" w:rsidR="00127769" w:rsidRDefault="00127769">
      <w:pPr>
        <w:contextualSpacing w:val="0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181D9BF4" w14:textId="0145373B" w:rsidR="00127769" w:rsidRDefault="004671B0">
      <w:pPr>
        <w:contextualSpacing w:val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Motion to </w:t>
      </w:r>
      <w:r>
        <w:rPr>
          <w:rFonts w:ascii="Cambria" w:eastAsia="Cambria" w:hAnsi="Cambria" w:cs="Cambria"/>
          <w:b/>
          <w:sz w:val="24"/>
          <w:szCs w:val="24"/>
        </w:rPr>
        <w:t xml:space="preserve">Add </w:t>
      </w:r>
      <w:r w:rsidR="004F0AD7">
        <w:rPr>
          <w:rFonts w:ascii="Cambria" w:eastAsia="Cambria" w:hAnsi="Cambria" w:cs="Cambria"/>
          <w:b/>
          <w:sz w:val="24"/>
          <w:szCs w:val="24"/>
        </w:rPr>
        <w:t xml:space="preserve">a Cumulative Departmental Funds Destination Appendix to any </w:t>
      </w:r>
      <w:r w:rsidR="004F0AD7" w:rsidRPr="004F0AD7">
        <w:rPr>
          <w:rFonts w:ascii="Cambria" w:eastAsia="Cambria" w:hAnsi="Cambria" w:cs="Cambria"/>
          <w:b/>
          <w:sz w:val="24"/>
          <w:szCs w:val="24"/>
        </w:rPr>
        <w:t>Motion</w:t>
      </w:r>
      <w:r w:rsidR="004F0AD7">
        <w:rPr>
          <w:rFonts w:ascii="Cambria" w:eastAsia="Cambria" w:hAnsi="Cambria" w:cs="Cambria"/>
          <w:b/>
          <w:sz w:val="24"/>
          <w:szCs w:val="24"/>
        </w:rPr>
        <w:t>s</w:t>
      </w:r>
      <w:r w:rsidR="004F0AD7" w:rsidRPr="004F0AD7">
        <w:rPr>
          <w:rFonts w:ascii="Cambria" w:eastAsia="Cambria" w:hAnsi="Cambria" w:cs="Cambria"/>
          <w:b/>
          <w:sz w:val="24"/>
          <w:szCs w:val="24"/>
        </w:rPr>
        <w:t xml:space="preserve"> t</w:t>
      </w:r>
      <w:r w:rsidR="004F0AD7">
        <w:rPr>
          <w:rFonts w:ascii="Cambria" w:eastAsia="Cambria" w:hAnsi="Cambria" w:cs="Cambria"/>
          <w:b/>
          <w:sz w:val="24"/>
          <w:szCs w:val="24"/>
        </w:rPr>
        <w:t>hat</w:t>
      </w:r>
      <w:r w:rsidR="004F0AD7" w:rsidRPr="004F0AD7">
        <w:rPr>
          <w:rFonts w:ascii="Cambria" w:eastAsia="Cambria" w:hAnsi="Cambria" w:cs="Cambria"/>
          <w:b/>
          <w:sz w:val="24"/>
          <w:szCs w:val="24"/>
        </w:rPr>
        <w:t xml:space="preserve"> Ratify Financial Management Committee (FMC) Decisions</w:t>
      </w:r>
    </w:p>
    <w:p w14:paraId="42F49464" w14:textId="77777777" w:rsidR="00127769" w:rsidRDefault="00127769">
      <w:pPr>
        <w:contextualSpacing w:val="0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19AEDEA3" w14:textId="0F85F01F" w:rsidR="004F0AD7" w:rsidRPr="004F0AD7" w:rsidRDefault="004671B0" w:rsidP="004F0AD7">
      <w:pPr>
        <w:contextualSpacing w:val="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/>
        </w:rPr>
        <w:t>Whereas,</w:t>
      </w:r>
      <w:r w:rsidR="004F0AD7">
        <w:rPr>
          <w:rFonts w:ascii="Cambria" w:eastAsia="Cambria" w:hAnsi="Cambria" w:cs="Cambria"/>
          <w:b/>
        </w:rPr>
        <w:t xml:space="preserve"> </w:t>
      </w:r>
      <w:r w:rsidR="004F0AD7">
        <w:rPr>
          <w:rFonts w:ascii="Cambria" w:eastAsia="Cambria" w:hAnsi="Cambria" w:cs="Cambria"/>
          <w:bCs/>
        </w:rPr>
        <w:t xml:space="preserve">the money allocated by the FMC throughout the year belongs to </w:t>
      </w:r>
      <w:r w:rsidR="004F0AD7" w:rsidRPr="004F0AD7">
        <w:rPr>
          <w:rFonts w:ascii="Cambria" w:eastAsia="Cambria" w:hAnsi="Cambria" w:cs="Cambria"/>
          <w:bCs/>
        </w:rPr>
        <w:t>all students enrolled in the Faculties of Arts and Arts &amp; Science</w:t>
      </w:r>
      <w:r w:rsidR="00105422">
        <w:rPr>
          <w:rFonts w:ascii="Cambria" w:eastAsia="Cambria" w:hAnsi="Cambria" w:cs="Cambria"/>
          <w:bCs/>
        </w:rPr>
        <w:t>;</w:t>
      </w:r>
    </w:p>
    <w:p w14:paraId="649FC976" w14:textId="46A12C30" w:rsidR="00127769" w:rsidRDefault="00127769" w:rsidP="004F0AD7">
      <w:pPr>
        <w:contextualSpacing w:val="0"/>
        <w:rPr>
          <w:rFonts w:ascii="Cambria" w:eastAsia="Cambria" w:hAnsi="Cambria" w:cs="Cambria"/>
        </w:rPr>
      </w:pPr>
    </w:p>
    <w:p w14:paraId="32988E7D" w14:textId="2932660E" w:rsidR="004F0AD7" w:rsidRDefault="004F0AD7" w:rsidP="004F0AD7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Whereas, </w:t>
      </w:r>
      <w:r>
        <w:rPr>
          <w:rFonts w:ascii="Cambria" w:eastAsia="Cambria" w:hAnsi="Cambria" w:cs="Cambria"/>
        </w:rPr>
        <w:t>Legislative Council ratifies Financial Management Committee decisions often throughout the year</w:t>
      </w:r>
      <w:r w:rsidR="00105422">
        <w:rPr>
          <w:rFonts w:ascii="Cambria" w:eastAsia="Cambria" w:hAnsi="Cambria" w:cs="Cambria"/>
        </w:rPr>
        <w:t>;</w:t>
      </w:r>
    </w:p>
    <w:p w14:paraId="6100A130" w14:textId="0DFE41F6" w:rsidR="00127769" w:rsidRDefault="00127769">
      <w:pPr>
        <w:contextualSpacing w:val="0"/>
        <w:rPr>
          <w:rFonts w:ascii="Cambria" w:eastAsia="Cambria" w:hAnsi="Cambria" w:cs="Cambria"/>
        </w:rPr>
      </w:pPr>
    </w:p>
    <w:p w14:paraId="6E353170" w14:textId="4AC44B4F" w:rsidR="004F0AD7" w:rsidRDefault="004F0AD7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 xml:space="preserve">Whereas, </w:t>
      </w:r>
      <w:r w:rsidR="00105422">
        <w:rPr>
          <w:rFonts w:ascii="Cambria" w:eastAsia="Cambria" w:hAnsi="Cambria" w:cs="Cambria"/>
        </w:rPr>
        <w:t>a few specific</w:t>
      </w:r>
      <w:r>
        <w:rPr>
          <w:rFonts w:ascii="Cambria" w:eastAsia="Cambria" w:hAnsi="Cambria" w:cs="Cambria"/>
        </w:rPr>
        <w:t xml:space="preserve"> departments </w:t>
      </w:r>
      <w:r w:rsidR="00105422">
        <w:rPr>
          <w:rFonts w:ascii="Cambria" w:eastAsia="Cambria" w:hAnsi="Cambria" w:cs="Cambria"/>
        </w:rPr>
        <w:t>have repeated</w:t>
      </w:r>
      <w:r>
        <w:rPr>
          <w:rFonts w:ascii="Cambria" w:eastAsia="Cambria" w:hAnsi="Cambria" w:cs="Cambria"/>
        </w:rPr>
        <w:t xml:space="preserve"> supplementary </w:t>
      </w:r>
      <w:r w:rsidR="00105422">
        <w:rPr>
          <w:rFonts w:ascii="Cambria" w:eastAsia="Cambria" w:hAnsi="Cambria" w:cs="Cambria"/>
        </w:rPr>
        <w:t>fund applications approved throughout the year;</w:t>
      </w:r>
    </w:p>
    <w:p w14:paraId="475B0128" w14:textId="09482544" w:rsidR="00105422" w:rsidRDefault="00105422">
      <w:pPr>
        <w:contextualSpacing w:val="0"/>
        <w:rPr>
          <w:rFonts w:ascii="Cambria" w:eastAsia="Cambria" w:hAnsi="Cambria" w:cs="Cambria"/>
        </w:rPr>
      </w:pPr>
    </w:p>
    <w:p w14:paraId="6970D239" w14:textId="3EB5731F" w:rsidR="00105422" w:rsidRDefault="00105422" w:rsidP="00105422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Whereas, </w:t>
      </w:r>
      <w:r>
        <w:rPr>
          <w:rFonts w:ascii="Cambria" w:eastAsia="Cambria" w:hAnsi="Cambria" w:cs="Cambria"/>
          <w:bCs/>
        </w:rPr>
        <w:t xml:space="preserve">many more departments </w:t>
      </w:r>
      <w:bookmarkStart w:id="0" w:name="_GoBack"/>
      <w:bookmarkEnd w:id="0"/>
      <w:r>
        <w:rPr>
          <w:rFonts w:ascii="Cambria" w:eastAsia="Cambria" w:hAnsi="Cambria" w:cs="Cambria"/>
          <w:bCs/>
        </w:rPr>
        <w:t>are not aware of the availability of supplementary funds</w:t>
      </w:r>
      <w:r w:rsidR="00A3525B">
        <w:rPr>
          <w:rFonts w:ascii="Cambria" w:eastAsia="Cambria" w:hAnsi="Cambria" w:cs="Cambria"/>
          <w:bCs/>
        </w:rPr>
        <w:t xml:space="preserve"> or are not aware of the process to apply for these</w:t>
      </w:r>
      <w:r>
        <w:rPr>
          <w:rFonts w:ascii="Cambria" w:eastAsia="Cambria" w:hAnsi="Cambria" w:cs="Cambria"/>
        </w:rPr>
        <w:t>;</w:t>
      </w:r>
    </w:p>
    <w:p w14:paraId="2A70FC90" w14:textId="77777777" w:rsidR="00127769" w:rsidRDefault="00127769">
      <w:pPr>
        <w:contextualSpacing w:val="0"/>
        <w:rPr>
          <w:rFonts w:ascii="Cambria" w:eastAsia="Cambria" w:hAnsi="Cambria" w:cs="Cambria"/>
        </w:rPr>
      </w:pPr>
    </w:p>
    <w:p w14:paraId="283DD61C" w14:textId="6EBB265F" w:rsidR="00105422" w:rsidRDefault="00105422" w:rsidP="00105422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Whereas,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Cs/>
        </w:rPr>
        <w:t>students</w:t>
      </w:r>
      <w:r>
        <w:rPr>
          <w:rFonts w:ascii="Cambria" w:eastAsia="Cambria" w:hAnsi="Cambria" w:cs="Cambria"/>
          <w:b/>
        </w:rPr>
        <w:t xml:space="preserve"> </w:t>
      </w:r>
      <w:r w:rsidRPr="004F0AD7">
        <w:rPr>
          <w:rFonts w:ascii="Cambria" w:eastAsia="Cambria" w:hAnsi="Cambria" w:cs="Cambria"/>
          <w:bCs/>
        </w:rPr>
        <w:t>in the Faculties of Arts and Arts &amp; Science</w:t>
      </w:r>
      <w:r>
        <w:rPr>
          <w:rFonts w:ascii="Cambria" w:eastAsia="Cambria" w:hAnsi="Cambria" w:cs="Cambria"/>
          <w:bCs/>
        </w:rPr>
        <w:t xml:space="preserve"> have no transparent way of accessing information about which departments are applying for supplementary funds and receiving their money throughout the year</w:t>
      </w:r>
      <w:r>
        <w:rPr>
          <w:rFonts w:ascii="Cambria" w:eastAsia="Cambria" w:hAnsi="Cambria" w:cs="Cambria"/>
        </w:rPr>
        <w:t>;</w:t>
      </w:r>
    </w:p>
    <w:p w14:paraId="1CBC0133" w14:textId="7386D093" w:rsidR="00A3525B" w:rsidRDefault="00A3525B" w:rsidP="00105422">
      <w:pPr>
        <w:contextualSpacing w:val="0"/>
        <w:rPr>
          <w:rFonts w:ascii="Cambria" w:eastAsia="Cambria" w:hAnsi="Cambria" w:cs="Cambria"/>
        </w:rPr>
      </w:pPr>
    </w:p>
    <w:p w14:paraId="753D96F5" w14:textId="3311D749" w:rsidR="00A3525B" w:rsidRDefault="00A3525B" w:rsidP="00A3525B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Whereas, </w:t>
      </w:r>
      <w:r>
        <w:rPr>
          <w:rFonts w:ascii="Cambria" w:eastAsia="Cambria" w:hAnsi="Cambria" w:cs="Cambria"/>
          <w:bCs/>
        </w:rPr>
        <w:t>councilo</w:t>
      </w:r>
      <w:r>
        <w:rPr>
          <w:rFonts w:ascii="Cambria" w:eastAsia="Cambria" w:hAnsi="Cambria" w:cs="Cambria"/>
          <w:bCs/>
        </w:rPr>
        <w:t>r</w:t>
      </w:r>
      <w:r>
        <w:rPr>
          <w:rFonts w:ascii="Cambria" w:eastAsia="Cambria" w:hAnsi="Cambria" w:cs="Cambria"/>
          <w:bCs/>
        </w:rPr>
        <w:t xml:space="preserve">s currently have no easily accessible way to visualize which departments they have awarded supplementary funds </w:t>
      </w:r>
      <w:r>
        <w:rPr>
          <w:rFonts w:ascii="Cambria" w:eastAsia="Cambria" w:hAnsi="Cambria" w:cs="Cambria"/>
          <w:bCs/>
        </w:rPr>
        <w:t>the most</w:t>
      </w:r>
      <w:r>
        <w:rPr>
          <w:rFonts w:ascii="Cambria" w:eastAsia="Cambria" w:hAnsi="Cambria" w:cs="Cambria"/>
          <w:bCs/>
        </w:rPr>
        <w:t>, making it possible that few departments receive disproportionate amounts of money throughout the year</w:t>
      </w:r>
      <w:r>
        <w:rPr>
          <w:rFonts w:ascii="Cambria" w:eastAsia="Cambria" w:hAnsi="Cambria" w:cs="Cambria"/>
        </w:rPr>
        <w:t>;</w:t>
      </w:r>
    </w:p>
    <w:p w14:paraId="2CAFE61A" w14:textId="77777777" w:rsidR="00A3525B" w:rsidRDefault="00A3525B">
      <w:pPr>
        <w:contextualSpacing w:val="0"/>
        <w:rPr>
          <w:rFonts w:ascii="Cambria" w:eastAsia="Cambria" w:hAnsi="Cambria" w:cs="Cambria"/>
        </w:rPr>
      </w:pPr>
    </w:p>
    <w:p w14:paraId="1CA141AD" w14:textId="032EFD5D" w:rsidR="00127769" w:rsidRDefault="004671B0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Be it resolved</w:t>
      </w:r>
      <w:r>
        <w:rPr>
          <w:rFonts w:ascii="Cambria" w:eastAsia="Cambria" w:hAnsi="Cambria" w:cs="Cambria"/>
        </w:rPr>
        <w:t xml:space="preserve"> that</w:t>
      </w:r>
      <w:r w:rsidR="00105422">
        <w:rPr>
          <w:rFonts w:ascii="Cambria" w:eastAsia="Cambria" w:hAnsi="Cambria" w:cs="Cambria"/>
        </w:rPr>
        <w:t xml:space="preserve"> any Motion brought to Legislative Council that ratifies Financial Management Committee decisions must include an Appendix with a list of all Departments eligible to apply for supplementary funding and the cumulative amount of </w:t>
      </w:r>
      <w:r w:rsidR="00A3525B">
        <w:rPr>
          <w:rFonts w:ascii="Cambria" w:eastAsia="Cambria" w:hAnsi="Cambria" w:cs="Cambria"/>
        </w:rPr>
        <w:t>supplementary funds each department has received throughout the academic year, unless that amount is of $0</w:t>
      </w:r>
      <w:r>
        <w:rPr>
          <w:rFonts w:ascii="Cambria" w:eastAsia="Cambria" w:hAnsi="Cambria" w:cs="Cambria"/>
        </w:rPr>
        <w:t>.</w:t>
      </w:r>
      <w:r w:rsidR="00A3525B">
        <w:rPr>
          <w:rFonts w:ascii="Cambria" w:eastAsia="Cambria" w:hAnsi="Cambria" w:cs="Cambria"/>
        </w:rPr>
        <w:t xml:space="preserve"> Further, be it resolved that any regulations governing the FMC and Council’s ratification of its decisions be amended accordingly.</w:t>
      </w:r>
    </w:p>
    <w:p w14:paraId="716149AF" w14:textId="77777777" w:rsidR="00127769" w:rsidRDefault="00127769">
      <w:pPr>
        <w:contextualSpacing w:val="0"/>
        <w:rPr>
          <w:rFonts w:ascii="Cambria" w:eastAsia="Cambria" w:hAnsi="Cambria" w:cs="Cambria"/>
        </w:rPr>
      </w:pPr>
    </w:p>
    <w:p w14:paraId="3C54B57C" w14:textId="77777777" w:rsidR="00127769" w:rsidRDefault="004671B0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Moved by,</w:t>
      </w:r>
    </w:p>
    <w:p w14:paraId="18C33A14" w14:textId="278BE788" w:rsidR="00127769" w:rsidRPr="0005641E" w:rsidRDefault="0005641E">
      <w:pPr>
        <w:contextualSpacing w:val="0"/>
        <w:rPr>
          <w:rFonts w:ascii="Cambria" w:eastAsia="Cambria" w:hAnsi="Cambria" w:cs="Cambria"/>
          <w:lang w:val="pt-BR"/>
        </w:rPr>
      </w:pPr>
      <w:r w:rsidRPr="0005641E">
        <w:rPr>
          <w:rFonts w:ascii="Cambria" w:eastAsia="Cambria" w:hAnsi="Cambria" w:cs="Cambria"/>
          <w:lang w:val="pt-BR"/>
        </w:rPr>
        <w:t>Henrique Mecabô</w:t>
      </w:r>
      <w:r w:rsidR="004671B0" w:rsidRPr="0005641E">
        <w:rPr>
          <w:rFonts w:ascii="Cambria" w:eastAsia="Cambria" w:hAnsi="Cambria" w:cs="Cambria"/>
          <w:lang w:val="pt-BR"/>
        </w:rPr>
        <w:t>, Arts Senator</w:t>
      </w:r>
    </w:p>
    <w:p w14:paraId="1497D78D" w14:textId="110697E2" w:rsidR="00127769" w:rsidRPr="0005641E" w:rsidRDefault="00105422">
      <w:pPr>
        <w:contextualSpacing w:val="0"/>
        <w:rPr>
          <w:rFonts w:ascii="Cambria" w:eastAsia="Cambria" w:hAnsi="Cambria" w:cs="Cambria"/>
          <w:lang w:val="en-CA"/>
        </w:rPr>
      </w:pPr>
      <w:r>
        <w:rPr>
          <w:rFonts w:ascii="Cambria" w:eastAsia="Cambria" w:hAnsi="Cambria" w:cs="Cambria"/>
          <w:lang w:val="en-CA"/>
        </w:rPr>
        <w:t>Brent Jamsa</w:t>
      </w:r>
      <w:r w:rsidR="004671B0" w:rsidRPr="0005641E">
        <w:rPr>
          <w:rFonts w:ascii="Cambria" w:eastAsia="Cambria" w:hAnsi="Cambria" w:cs="Cambria"/>
          <w:lang w:val="en-CA"/>
        </w:rPr>
        <w:t xml:space="preserve">, </w:t>
      </w:r>
      <w:r>
        <w:rPr>
          <w:rFonts w:ascii="Cambria" w:eastAsia="Cambria" w:hAnsi="Cambria" w:cs="Cambria"/>
          <w:lang w:val="en-CA"/>
        </w:rPr>
        <w:t>CSAUS VP External</w:t>
      </w:r>
    </w:p>
    <w:sectPr w:rsidR="00127769" w:rsidRPr="0005641E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AF34E" w14:textId="77777777" w:rsidR="004671B0" w:rsidRDefault="004671B0">
      <w:pPr>
        <w:spacing w:line="240" w:lineRule="auto"/>
      </w:pPr>
      <w:r>
        <w:separator/>
      </w:r>
    </w:p>
  </w:endnote>
  <w:endnote w:type="continuationSeparator" w:id="0">
    <w:p w14:paraId="68FAF227" w14:textId="77777777" w:rsidR="004671B0" w:rsidRDefault="00467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3CAD3" w14:textId="77777777" w:rsidR="004671B0" w:rsidRDefault="004671B0">
      <w:pPr>
        <w:spacing w:line="240" w:lineRule="auto"/>
      </w:pPr>
      <w:r>
        <w:separator/>
      </w:r>
    </w:p>
  </w:footnote>
  <w:footnote w:type="continuationSeparator" w:id="0">
    <w:p w14:paraId="48D0E360" w14:textId="77777777" w:rsidR="004671B0" w:rsidRDefault="004671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5B0C7" w14:textId="77777777" w:rsidR="00127769" w:rsidRDefault="004671B0">
    <w:pPr>
      <w:spacing w:line="240" w:lineRule="auto"/>
      <w:contextualSpacing w:val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CFD9D4A" wp14:editId="7887E8B6">
              <wp:simplePos x="0" y="0"/>
              <wp:positionH relativeFrom="margin">
                <wp:posOffset>1419225</wp:posOffset>
              </wp:positionH>
              <wp:positionV relativeFrom="paragraph">
                <wp:posOffset>123825</wp:posOffset>
              </wp:positionV>
              <wp:extent cx="2743200" cy="5715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4400" y="349425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C9CAFF" w14:textId="77777777" w:rsidR="00127769" w:rsidRDefault="004671B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7"/>
                            </w:rPr>
                            <w:t>Arts Undergraduate Society of McGill University</w:t>
                          </w:r>
                        </w:p>
                        <w:p w14:paraId="0E7D7554" w14:textId="77777777" w:rsidR="00127769" w:rsidRDefault="004671B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855 Sherbrooke Street West</w:t>
                          </w:r>
                          <w:r>
                            <w:rPr>
                              <w:color w:val="000000"/>
                              <w:sz w:val="17"/>
                            </w:rPr>
                            <w:tab/>
                          </w:r>
                          <w:r>
                            <w:rPr>
                              <w:color w:val="000000"/>
                              <w:sz w:val="17"/>
                            </w:rPr>
                            <w:tab/>
                          </w:r>
                          <w:r>
                            <w:rPr>
                              <w:color w:val="000000"/>
                              <w:sz w:val="17"/>
                            </w:rPr>
                            <w:tab/>
                          </w:r>
                        </w:p>
                        <w:p w14:paraId="7E0ABF13" w14:textId="77777777" w:rsidR="00127769" w:rsidRDefault="004671B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Leacock B-12</w:t>
                          </w:r>
                        </w:p>
                        <w:p w14:paraId="7D513881" w14:textId="77777777" w:rsidR="00127769" w:rsidRDefault="004671B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Montreal, Quebec  H3A 2T7</w:t>
                          </w:r>
                        </w:p>
                        <w:p w14:paraId="2FF1AFC4" w14:textId="77777777" w:rsidR="00127769" w:rsidRDefault="0012776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0CFD9D4A" id="Rectangle 2" o:spid="_x0000_s1026" style="position:absolute;margin-left:111.75pt;margin-top:9.75pt;width:3in;height:4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" filled="f" stroked="f">
              <v:textbox inset="2.53958mm,1.2694mm,2.53958mm,1.2694mm">
                <w:txbxContent>
                  <w:p w14:paraId="2EC9CAFF" w14:textId="77777777" w:rsidR="00127769" w:rsidRDefault="004671B0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  <w:color w:val="000000"/>
                        <w:sz w:val="17"/>
                      </w:rPr>
                      <w:t>Arts Undergraduate Society of McGill University</w:t>
                    </w:r>
                  </w:p>
                  <w:p w14:paraId="0E7D7554" w14:textId="77777777" w:rsidR="00127769" w:rsidRDefault="004671B0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17"/>
                      </w:rPr>
                      <w:t>855 Sherbrooke Street West</w:t>
                    </w:r>
                    <w:r>
                      <w:rPr>
                        <w:color w:val="000000"/>
                        <w:sz w:val="17"/>
                      </w:rPr>
                      <w:tab/>
                    </w:r>
                    <w:r>
                      <w:rPr>
                        <w:color w:val="000000"/>
                        <w:sz w:val="17"/>
                      </w:rPr>
                      <w:tab/>
                    </w:r>
                    <w:r>
                      <w:rPr>
                        <w:color w:val="000000"/>
                        <w:sz w:val="17"/>
                      </w:rPr>
                      <w:tab/>
                    </w:r>
                  </w:p>
                  <w:p w14:paraId="7E0ABF13" w14:textId="77777777" w:rsidR="00127769" w:rsidRDefault="004671B0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17"/>
                      </w:rPr>
                      <w:t>Leacock B-12</w:t>
                    </w:r>
                  </w:p>
                  <w:p w14:paraId="7D513881" w14:textId="77777777" w:rsidR="00127769" w:rsidRDefault="004671B0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17"/>
                      </w:rPr>
                      <w:t>Montreal, Quebec  H3A 2T7</w:t>
                    </w:r>
                  </w:p>
                  <w:p w14:paraId="2FF1AFC4" w14:textId="77777777" w:rsidR="00127769" w:rsidRDefault="00127769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70CB9B4E" w14:textId="77777777" w:rsidR="00127769" w:rsidRDefault="004671B0">
    <w:pPr>
      <w:contextualSpacing w:val="0"/>
    </w:pPr>
    <w: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0F77D3D" wp14:editId="018C4F07">
              <wp:simplePos x="0" y="0"/>
              <wp:positionH relativeFrom="margin">
                <wp:posOffset>3429000</wp:posOffset>
              </wp:positionH>
              <wp:positionV relativeFrom="paragraph">
                <wp:posOffset>104775</wp:posOffset>
              </wp:positionV>
              <wp:extent cx="2286000" cy="5715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3000" y="349425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F3C028" w14:textId="77777777" w:rsidR="00127769" w:rsidRDefault="004671B0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Tel: (514) 398-1993</w:t>
                          </w:r>
                        </w:p>
                        <w:p w14:paraId="6B1F961F" w14:textId="77777777" w:rsidR="00127769" w:rsidRDefault="004671B0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Fax: (514) 398-4431</w:t>
                          </w:r>
                        </w:p>
                        <w:p w14:paraId="35CF0A10" w14:textId="77777777" w:rsidR="00127769" w:rsidRDefault="004671B0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10F77D3D" id="Rectangle 3" o:spid="_x0000_s1027" style="position:absolute;margin-left:270pt;margin-top:8.25pt;width:180pt;height: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" filled="f" stroked="f">
              <v:textbox inset="2.53958mm,1.2694mm,2.53958mm,1.2694mm">
                <w:txbxContent>
                  <w:p w14:paraId="5DF3C028" w14:textId="77777777" w:rsidR="00127769" w:rsidRDefault="004671B0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17"/>
                      </w:rPr>
                      <w:t>Tel: (514) 398-1993</w:t>
                    </w:r>
                  </w:p>
                  <w:p w14:paraId="6B1F961F" w14:textId="77777777" w:rsidR="00127769" w:rsidRDefault="004671B0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17"/>
                      </w:rPr>
                      <w:t>Fax: (514) 398-4431</w:t>
                    </w:r>
                  </w:p>
                  <w:p w14:paraId="35CF0A10" w14:textId="77777777" w:rsidR="00127769" w:rsidRDefault="004671B0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17"/>
                      </w:rPr>
                      <w:t>http://www.ausmcgill.com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EC0660D" wp14:editId="36180EDD">
          <wp:simplePos x="0" y="0"/>
          <wp:positionH relativeFrom="margin">
            <wp:posOffset>-66674</wp:posOffset>
          </wp:positionH>
          <wp:positionV relativeFrom="paragraph">
            <wp:posOffset>28575</wp:posOffset>
          </wp:positionV>
          <wp:extent cx="1485900" cy="571500"/>
          <wp:effectExtent l="0" t="0" r="0" b="0"/>
          <wp:wrapNone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11F772" w14:textId="77777777" w:rsidR="00127769" w:rsidRDefault="004671B0">
    <w:pPr>
      <w:contextualSpacing w:val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3FF0954" wp14:editId="7A15BB92">
              <wp:simplePos x="0" y="0"/>
              <wp:positionH relativeFrom="margin">
                <wp:posOffset>1</wp:posOffset>
              </wp:positionH>
              <wp:positionV relativeFrom="paragraph">
                <wp:posOffset>409575</wp:posOffset>
              </wp:positionV>
              <wp:extent cx="57150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8404D1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32.25pt;width:450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">
              <v:stroke startarrowwidth="narrow" startarrowlength="short" endarrowwidth="narrow" endarrowlength="short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7769"/>
    <w:rsid w:val="0005641E"/>
    <w:rsid w:val="00105422"/>
    <w:rsid w:val="00127769"/>
    <w:rsid w:val="004671B0"/>
    <w:rsid w:val="004F0AD7"/>
    <w:rsid w:val="00822377"/>
    <w:rsid w:val="00A3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F1C2"/>
  <w15:docId w15:val="{7A3222A1-5A83-411F-9B8C-F301AB2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Henrique Mecabô</cp:lastModifiedBy>
  <cp:revision>3</cp:revision>
  <dcterms:created xsi:type="dcterms:W3CDTF">2020-03-12T23:57:00Z</dcterms:created>
  <dcterms:modified xsi:type="dcterms:W3CDTF">2020-03-12T23:57:00Z</dcterms:modified>
</cp:coreProperties>
</file>