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42"/>
          <w:szCs w:val="42"/>
        </w:rPr>
      </w:pPr>
      <w:r w:rsidDel="00000000" w:rsidR="00000000" w:rsidRPr="00000000">
        <w:rPr>
          <w:rFonts w:ascii="Helvetica Neue" w:cs="Helvetica Neue" w:eastAsia="Helvetica Neue" w:hAnsi="Helvetica Neue"/>
          <w:b w:val="1"/>
          <w:sz w:val="42"/>
          <w:szCs w:val="42"/>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-228598</wp:posOffset>
            </wp:positionV>
            <wp:extent cx="1485900" cy="571500"/>
            <wp:effectExtent b="0" l="0" r="0" t="0"/>
            <wp:wrapNone/>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-228599</wp:posOffset>
                </wp:positionV>
                <wp:extent cx="2752725" cy="581025"/>
                <wp:effectExtent b="0" l="0" r="0" t="0"/>
                <wp:wrapNone/>
                <wp:docPr id="1" name=""/>
                <a:graphic>
                  <a:graphicData uri="http://schemas.microsoft.com/office/word/2010/wordprocessingShape">
                    <wps:wsp>
                      <wps:cNvSpPr/>
                      <wps:cNvPr id="2" name="Shape 2"/>
                      <wps:spPr>
                        <a:xfrm>
                          <a:off x="3974401" y="3494250"/>
                          <a:ext cx="2743199"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-228599</wp:posOffset>
                </wp:positionV>
                <wp:extent cx="2752725" cy="5810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527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-114299</wp:posOffset>
                </wp:positionV>
                <wp:extent cx="2295525" cy="581025"/>
                <wp:effectExtent b="0" l="0" r="0" t="0"/>
                <wp:wrapNone/>
                <wp:docPr id="2" name=""/>
                <a:graphic>
                  <a:graphicData uri="http://schemas.microsoft.com/office/word/2010/wordprocessingShape">
                    <wps:wsp>
                      <wps:cNvSpPr/>
                      <wps:cNvPr id="3" name="Shape 3"/>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-114299</wp:posOffset>
                </wp:positionV>
                <wp:extent cx="2295525" cy="5810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95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317500</wp:posOffset>
                </wp:positionV>
                <wp:extent cx="5724525" cy="22225"/>
                <wp:effectExtent b="0" l="0" r="0" t="0"/>
                <wp:wrapNone/>
                <wp:docPr id="3" name=""/>
                <a:graphic>
                  <a:graphicData uri="http://schemas.microsoft.com/office/word/2010/wordprocessingShape">
                    <wps:wsp>
                      <wps:cNvCnPr/>
                      <wps:spPr>
                        <a:xfrm>
                          <a:off x="2488501" y="3780000"/>
                          <a:ext cx="571499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317500</wp:posOffset>
                </wp:positionV>
                <wp:extent cx="5724525" cy="222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24525" cy="22225"/>
                        </a:xfrm>
                        <a:prstGeom prst="rect"/>
                        <a:ln/>
                      </pic:spPr>
                    </pic:pic>
                  </a:graphicData>
                </a:graphic>
              </wp:anchor>
            </w:drawing>
          </mc:Fallback>
        </mc:AlternateContent>
      </w:r>
    </w:p>
    <w:p w:rsidR="00000000" w:rsidDel="00000000" w:rsidP="00000000" w:rsidRDefault="00000000" w:rsidRPr="00000000" w14:paraId="00000002">
      <w:pPr>
        <w:jc w:val="center"/>
        <w:rPr>
          <w:b w:val="1"/>
        </w:rPr>
      </w:pPr>
      <w:bookmarkStart w:colFirst="0" w:colLast="0" w:name="_gjdgxs" w:id="0"/>
      <w:bookmarkEnd w:id="0"/>
      <w:r w:rsidDel="00000000" w:rsidR="00000000" w:rsidRPr="00000000">
        <w:rPr>
          <w:b w:val="1"/>
          <w:rtl w:val="0"/>
        </w:rPr>
        <w:t xml:space="preserve">Motion to Allow Temporary Absences from Legislative Council due to the Ongoing Curfew</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the World Health Organisation (WHO) declared COVID-19 a “pandemic” on March 11</w:t>
      </w:r>
      <w:r w:rsidDel="00000000" w:rsidR="00000000" w:rsidRPr="00000000">
        <w:rPr>
          <w:sz w:val="22"/>
          <w:szCs w:val="22"/>
          <w:vertAlign w:val="superscript"/>
          <w:rtl w:val="0"/>
        </w:rPr>
        <w:t xml:space="preserve">th </w:t>
      </w:r>
      <w:r w:rsidDel="00000000" w:rsidR="00000000" w:rsidRPr="00000000">
        <w:rPr>
          <w:sz w:val="22"/>
          <w:szCs w:val="22"/>
          <w:rtl w:val="0"/>
        </w:rPr>
        <w:t xml:space="preserve">2020, and the Government of Quebec declared a “State of Emergency” under section 118 of the </w:t>
      </w:r>
      <w:r w:rsidDel="00000000" w:rsidR="00000000" w:rsidRPr="00000000">
        <w:rPr>
          <w:i w:val="1"/>
          <w:sz w:val="22"/>
          <w:szCs w:val="22"/>
          <w:rtl w:val="0"/>
        </w:rPr>
        <w:t xml:space="preserve">Loi sur la Santé Publique</w:t>
      </w:r>
      <w:r w:rsidDel="00000000" w:rsidR="00000000" w:rsidRPr="00000000">
        <w:rPr>
          <w:sz w:val="22"/>
          <w:szCs w:val="22"/>
          <w:rtl w:val="0"/>
        </w:rPr>
        <w:t xml:space="preserve">, on March 13</w:t>
      </w:r>
      <w:r w:rsidDel="00000000" w:rsidR="00000000" w:rsidRPr="00000000">
        <w:rPr>
          <w:sz w:val="22"/>
          <w:szCs w:val="22"/>
          <w:vertAlign w:val="superscript"/>
          <w:rtl w:val="0"/>
        </w:rPr>
        <w:t xml:space="preserve">th</w:t>
      </w:r>
      <w:r w:rsidDel="00000000" w:rsidR="00000000" w:rsidRPr="00000000">
        <w:rPr>
          <w:sz w:val="22"/>
          <w:szCs w:val="22"/>
          <w:rtl w:val="0"/>
        </w:rPr>
        <w:t xml:space="preserve"> 2020;</w:t>
      </w:r>
    </w:p>
    <w:p w:rsidR="00000000" w:rsidDel="00000000" w:rsidP="00000000" w:rsidRDefault="00000000" w:rsidRPr="00000000" w14:paraId="00000005">
      <w:pPr>
        <w:rPr>
          <w:sz w:val="22"/>
          <w:szCs w:val="22"/>
        </w:rPr>
      </w:pPr>
      <w:r w:rsidDel="00000000" w:rsidR="00000000" w:rsidRPr="00000000">
        <w:rPr>
          <w:sz w:val="22"/>
          <w:szCs w:val="22"/>
          <w:rtl w:val="0"/>
        </w:rPr>
        <w:t xml:space="preserve"> </w:t>
      </w:r>
    </w:p>
    <w:p w:rsidR="00000000" w:rsidDel="00000000" w:rsidP="00000000" w:rsidRDefault="00000000" w:rsidRPr="00000000" w14:paraId="00000006">
      <w:pPr>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restrictions introduced by the Government of Quebec under the provisions of the </w:t>
      </w:r>
      <w:r w:rsidDel="00000000" w:rsidR="00000000" w:rsidRPr="00000000">
        <w:rPr>
          <w:i w:val="1"/>
          <w:sz w:val="22"/>
          <w:szCs w:val="22"/>
          <w:rtl w:val="0"/>
        </w:rPr>
        <w:t xml:space="preserve">Loi sur la Santé Publique</w:t>
      </w:r>
      <w:r w:rsidDel="00000000" w:rsidR="00000000" w:rsidRPr="00000000">
        <w:rPr>
          <w:sz w:val="22"/>
          <w:szCs w:val="22"/>
          <w:rtl w:val="0"/>
        </w:rPr>
        <w:t xml:space="preserve"> are subject to frequent and unannounced changes, due to the epidemiology of the coronavirus, in Quebec;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b w:val="1"/>
          <w:sz w:val="22"/>
          <w:szCs w:val="22"/>
          <w:rtl w:val="0"/>
        </w:rPr>
        <w:t xml:space="preserve">Whereas,</w:t>
      </w:r>
      <w:r w:rsidDel="00000000" w:rsidR="00000000" w:rsidRPr="00000000">
        <w:rPr>
          <w:sz w:val="22"/>
          <w:szCs w:val="22"/>
          <w:rtl w:val="0"/>
        </w:rPr>
        <w:t xml:space="preserve"> on January 6</w:t>
      </w:r>
      <w:r w:rsidDel="00000000" w:rsidR="00000000" w:rsidRPr="00000000">
        <w:rPr>
          <w:sz w:val="22"/>
          <w:szCs w:val="22"/>
          <w:vertAlign w:val="superscript"/>
          <w:rtl w:val="0"/>
        </w:rPr>
        <w:t xml:space="preserve">th</w:t>
      </w:r>
      <w:r w:rsidDel="00000000" w:rsidR="00000000" w:rsidRPr="00000000">
        <w:rPr>
          <w:sz w:val="22"/>
          <w:szCs w:val="22"/>
          <w:rtl w:val="0"/>
        </w:rPr>
        <w:t xml:space="preserve"> 2021, the Government of Quebec announced a strict curfew lasting between the hours of 20:00- 5:00, from January 9</w:t>
      </w:r>
      <w:r w:rsidDel="00000000" w:rsidR="00000000" w:rsidRPr="00000000">
        <w:rPr>
          <w:sz w:val="22"/>
          <w:szCs w:val="22"/>
          <w:vertAlign w:val="superscript"/>
          <w:rtl w:val="0"/>
        </w:rPr>
        <w:t xml:space="preserve">th</w:t>
      </w:r>
      <w:r w:rsidDel="00000000" w:rsidR="00000000" w:rsidRPr="00000000">
        <w:rPr>
          <w:sz w:val="22"/>
          <w:szCs w:val="22"/>
          <w:rtl w:val="0"/>
        </w:rPr>
        <w:t xml:space="preserve"> 2021 until February 8</w:t>
      </w:r>
      <w:r w:rsidDel="00000000" w:rsidR="00000000" w:rsidRPr="00000000">
        <w:rPr>
          <w:sz w:val="22"/>
          <w:szCs w:val="22"/>
          <w:vertAlign w:val="superscript"/>
          <w:rtl w:val="0"/>
        </w:rPr>
        <w:t xml:space="preserve">th</w:t>
      </w:r>
      <w:r w:rsidDel="00000000" w:rsidR="00000000" w:rsidRPr="00000000">
        <w:rPr>
          <w:sz w:val="22"/>
          <w:szCs w:val="22"/>
          <w:rtl w:val="0"/>
        </w:rPr>
        <w:t xml:space="preserve"> 2021 (or unless indicated), in order to control the spread of the coronavirus;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b w:val="1"/>
          <w:sz w:val="22"/>
          <w:szCs w:val="22"/>
          <w:rtl w:val="0"/>
        </w:rPr>
        <w:t xml:space="preserve">Whereas, </w:t>
      </w:r>
      <w:r w:rsidDel="00000000" w:rsidR="00000000" w:rsidRPr="00000000">
        <w:rPr>
          <w:sz w:val="22"/>
          <w:szCs w:val="22"/>
          <w:rtl w:val="0"/>
        </w:rPr>
        <w:t xml:space="preserve">the AUS Legislative Council often tends to adjourn, following the start of the curfew;</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Be it resolved, </w:t>
      </w:r>
      <w:r w:rsidDel="00000000" w:rsidR="00000000" w:rsidRPr="00000000">
        <w:rPr>
          <w:sz w:val="22"/>
          <w:szCs w:val="22"/>
          <w:rtl w:val="0"/>
        </w:rPr>
        <w:t xml:space="preserve">that any councillor who finds themselves away from their place of residence ahead of the start of the curfew, shall be able to temporary excuse themselves from Legislative Council, in order to return to their place of residence or any suitable accommodation; </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b w:val="1"/>
          <w:sz w:val="22"/>
          <w:szCs w:val="22"/>
          <w:rtl w:val="0"/>
        </w:rPr>
        <w:t xml:space="preserve">Be it further resolved, </w:t>
      </w:r>
      <w:r w:rsidDel="00000000" w:rsidR="00000000" w:rsidRPr="00000000">
        <w:rPr>
          <w:sz w:val="22"/>
          <w:szCs w:val="22"/>
          <w:rtl w:val="0"/>
        </w:rPr>
        <w:t xml:space="preserve">that any councillor who is absent from roll call as they are returning to their place of residence (or any other suitable accommodation), not be penalized for their absence. Councillors who miss roll call due to this reason should email the speaker informing them of the reason for their absence.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b w:val="1"/>
          <w:sz w:val="22"/>
          <w:szCs w:val="22"/>
          <w:rtl w:val="0"/>
        </w:rPr>
        <w:t xml:space="preserve">Be it further resolved</w:t>
      </w:r>
      <w:r w:rsidDel="00000000" w:rsidR="00000000" w:rsidRPr="00000000">
        <w:rPr>
          <w:sz w:val="22"/>
          <w:szCs w:val="22"/>
          <w:rtl w:val="0"/>
        </w:rPr>
        <w:t xml:space="preserve">, that this motion ceases to have any validity, following the ending of the curfew, by the Government of Quebec. </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spacing w:line="360" w:lineRule="auto"/>
        <w:rPr>
          <w:sz w:val="22"/>
          <w:szCs w:val="22"/>
        </w:rPr>
      </w:pPr>
      <w:r w:rsidDel="00000000" w:rsidR="00000000" w:rsidRPr="00000000">
        <w:rPr>
          <w:rtl w:val="0"/>
        </w:rPr>
      </w:r>
    </w:p>
    <w:p w:rsidR="00000000" w:rsidDel="00000000" w:rsidP="00000000" w:rsidRDefault="00000000" w:rsidRPr="00000000" w14:paraId="00000015">
      <w:pPr>
        <w:spacing w:line="360" w:lineRule="auto"/>
        <w:rPr>
          <w:sz w:val="22"/>
          <w:szCs w:val="22"/>
        </w:rPr>
      </w:pPr>
      <w:r w:rsidDel="00000000" w:rsidR="00000000" w:rsidRPr="00000000">
        <w:rPr>
          <w:sz w:val="22"/>
          <w:szCs w:val="22"/>
          <w:rtl w:val="0"/>
        </w:rPr>
        <w:t xml:space="preserve">Moved by,</w:t>
      </w:r>
    </w:p>
    <w:p w:rsidR="00000000" w:rsidDel="00000000" w:rsidP="00000000" w:rsidRDefault="00000000" w:rsidRPr="00000000" w14:paraId="00000016">
      <w:pPr>
        <w:spacing w:line="360" w:lineRule="auto"/>
        <w:rPr>
          <w:sz w:val="22"/>
          <w:szCs w:val="22"/>
        </w:rPr>
      </w:pPr>
      <w:r w:rsidDel="00000000" w:rsidR="00000000" w:rsidRPr="00000000">
        <w:rPr>
          <w:sz w:val="22"/>
          <w:szCs w:val="22"/>
          <w:rtl w:val="0"/>
        </w:rPr>
        <w:t xml:space="preserve">Chip Smith, Arts Representative to SSMU</w:t>
      </w:r>
    </w:p>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Seconded by, </w:t>
      </w:r>
    </w:p>
    <w:p w:rsidR="00000000" w:rsidDel="00000000" w:rsidP="00000000" w:rsidRDefault="00000000" w:rsidRPr="00000000" w14:paraId="00000018">
      <w:pPr>
        <w:spacing w:line="360" w:lineRule="auto"/>
        <w:rPr>
          <w:sz w:val="22"/>
          <w:szCs w:val="22"/>
        </w:rPr>
      </w:pPr>
      <w:r w:rsidDel="00000000" w:rsidR="00000000" w:rsidRPr="00000000">
        <w:rPr>
          <w:sz w:val="22"/>
          <w:szCs w:val="22"/>
          <w:rtl w:val="0"/>
        </w:rPr>
        <w:t xml:space="preserve">Yara Coussa, VP External of the PSSA</w:t>
      </w:r>
    </w:p>
    <w:p w:rsidR="00000000" w:rsidDel="00000000" w:rsidP="00000000" w:rsidRDefault="00000000" w:rsidRPr="00000000" w14:paraId="00000019">
      <w:pPr>
        <w:spacing w:line="360" w:lineRule="auto"/>
        <w:rPr>
          <w:sz w:val="22"/>
          <w:szCs w:val="2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18" w:top="1304" w:left="1797" w:right="181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