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Renew Electronic Meeting Bylaws for Winter 2021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i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the Electronic Meeting Bylaws were to be in effect until the end of the first regular meeting of the Council of the winter 2021 semester unless the Council renewed them;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i w:val="1"/>
          <w:rtl w:val="0"/>
        </w:rPr>
        <w:t xml:space="preserve">Resolved</w:t>
      </w:r>
      <w:r w:rsidDel="00000000" w:rsidR="00000000" w:rsidRPr="00000000">
        <w:rPr>
          <w:rtl w:val="0"/>
        </w:rPr>
        <w:t xml:space="preserve">, That the Electronic Meeting Bylaws remain in effect until the end of this semester.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Moved by,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Asa Kohn, SLUM VP External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Seconded by,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Ananya Nair, AUS President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1114425" cy="4286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4425" cy="428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3586163" cy="57817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58758" l="24027" r="42500" t="31707"/>
                  <a:stretch>
                    <a:fillRect/>
                  </a:stretch>
                </pic:blipFill>
                <pic:spPr>
                  <a:xfrm>
                    <a:off x="0" y="0"/>
                    <a:ext cx="3586163" cy="5781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